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47CA" w:rsidRDefault="006F0B68" w14:paraId="00000001" w14:textId="77777777">
      <w:pPr>
        <w:widowControl w:val="0"/>
        <w:pBdr>
          <w:top w:val="nil"/>
          <w:left w:val="nil"/>
          <w:bottom w:val="nil"/>
          <w:right w:val="nil"/>
          <w:between w:val="nil"/>
        </w:pBdr>
        <w:spacing w:line="240" w:lineRule="auto"/>
        <w:ind w:left="-446" w:right="7650"/>
        <w:rPr>
          <w:rFonts w:ascii="Calibri" w:hAnsi="Calibri" w:eastAsia="Calibri" w:cs="Calibri"/>
          <w:b/>
          <w:color w:val="000000"/>
          <w:sz w:val="24"/>
          <w:szCs w:val="24"/>
        </w:rPr>
      </w:pPr>
      <w:r>
        <w:rPr>
          <w:rFonts w:ascii="Calibri" w:hAnsi="Calibri" w:eastAsia="Calibri" w:cs="Calibri"/>
          <w:b/>
          <w:color w:val="000000"/>
          <w:sz w:val="24"/>
          <w:szCs w:val="24"/>
        </w:rPr>
        <w:t>Joshua J.</w:t>
      </w:r>
      <w:r>
        <w:rPr>
          <w:rFonts w:ascii="Calibri" w:hAnsi="Calibri" w:eastAsia="Calibri" w:cs="Calibri"/>
          <w:b/>
          <w:sz w:val="24"/>
          <w:szCs w:val="24"/>
        </w:rPr>
        <w:t xml:space="preserve"> </w:t>
      </w:r>
      <w:r>
        <w:rPr>
          <w:rFonts w:ascii="Calibri" w:hAnsi="Calibri" w:eastAsia="Calibri" w:cs="Calibri"/>
          <w:b/>
          <w:color w:val="000000"/>
          <w:sz w:val="24"/>
          <w:szCs w:val="24"/>
        </w:rPr>
        <w:t xml:space="preserve">Michel </w:t>
      </w:r>
    </w:p>
    <w:p w:rsidR="00B147CA" w:rsidRDefault="00B147CA" w14:paraId="00000002" w14:textId="77777777">
      <w:pPr>
        <w:widowControl w:val="0"/>
        <w:pBdr>
          <w:top w:val="nil"/>
          <w:left w:val="nil"/>
          <w:bottom w:val="nil"/>
          <w:right w:val="nil"/>
          <w:between w:val="nil"/>
        </w:pBdr>
        <w:spacing w:line="240" w:lineRule="auto"/>
        <w:ind w:left="-446" w:right="7650"/>
        <w:rPr>
          <w:rFonts w:ascii="Calibri" w:hAnsi="Calibri" w:eastAsia="Calibri" w:cs="Calibri"/>
          <w:b/>
          <w:sz w:val="24"/>
          <w:szCs w:val="24"/>
        </w:rPr>
      </w:pPr>
    </w:p>
    <w:p w:rsidR="00B147CA" w:rsidRDefault="006F0B68" w14:paraId="00000003" w14:textId="77777777">
      <w:pPr>
        <w:widowControl w:val="0"/>
        <w:pBdr>
          <w:top w:val="nil"/>
          <w:left w:val="nil"/>
          <w:bottom w:val="nil"/>
          <w:right w:val="nil"/>
          <w:between w:val="nil"/>
        </w:pBdr>
        <w:spacing w:line="240" w:lineRule="auto"/>
        <w:ind w:left="-446" w:right="7020"/>
        <w:rPr>
          <w:rFonts w:ascii="Calibri" w:hAnsi="Calibri" w:eastAsia="Calibri" w:cs="Calibri"/>
          <w:b/>
          <w:sz w:val="24"/>
          <w:szCs w:val="24"/>
        </w:rPr>
      </w:pPr>
      <w:r>
        <w:rPr>
          <w:rFonts w:ascii="Calibri" w:hAnsi="Calibri" w:eastAsia="Calibri" w:cs="Calibri"/>
          <w:b/>
          <w:sz w:val="24"/>
          <w:szCs w:val="24"/>
        </w:rPr>
        <w:t>jjm80@pitt.edu</w:t>
      </w:r>
    </w:p>
    <w:p w:rsidR="00B147CA" w:rsidRDefault="00B147CA" w14:paraId="00000004" w14:textId="77777777">
      <w:pPr>
        <w:widowControl w:val="0"/>
        <w:pBdr>
          <w:top w:val="nil"/>
          <w:left w:val="nil"/>
          <w:bottom w:val="nil"/>
          <w:right w:val="nil"/>
          <w:between w:val="nil"/>
        </w:pBdr>
        <w:spacing w:line="240" w:lineRule="auto"/>
        <w:ind w:left="-446" w:right="7650"/>
        <w:rPr>
          <w:rFonts w:ascii="Calibri" w:hAnsi="Calibri" w:eastAsia="Calibri" w:cs="Calibri"/>
          <w:b/>
          <w:sz w:val="24"/>
          <w:szCs w:val="24"/>
        </w:rPr>
      </w:pPr>
    </w:p>
    <w:p w:rsidR="00B147CA" w:rsidRDefault="006F0B68" w14:paraId="00000005" w14:textId="77777777">
      <w:pPr>
        <w:widowControl w:val="0"/>
        <w:pBdr>
          <w:top w:val="nil"/>
          <w:left w:val="nil"/>
          <w:bottom w:val="nil"/>
          <w:right w:val="nil"/>
          <w:between w:val="nil"/>
        </w:pBdr>
        <w:spacing w:line="240" w:lineRule="auto"/>
        <w:ind w:left="-446" w:right="5956"/>
        <w:rPr>
          <w:rFonts w:ascii="Calibri" w:hAnsi="Calibri" w:eastAsia="Calibri" w:cs="Calibri"/>
          <w:b/>
          <w:sz w:val="24"/>
          <w:szCs w:val="24"/>
        </w:rPr>
      </w:pPr>
      <w:r>
        <w:rPr>
          <w:rFonts w:ascii="Calibri" w:hAnsi="Calibri" w:eastAsia="Calibri" w:cs="Calibri"/>
          <w:b/>
          <w:sz w:val="24"/>
          <w:szCs w:val="24"/>
        </w:rPr>
        <w:t>Flow Core Operations Manager</w:t>
      </w:r>
    </w:p>
    <w:p w:rsidR="00B147CA" w:rsidRDefault="00B147CA" w14:paraId="00000006" w14:textId="77777777"/>
    <w:p w:rsidR="00B147CA" w:rsidRDefault="006F0B68" w14:paraId="00000007" w14:textId="77777777">
      <w:r>
        <w:t>I guide the design and implementation of novel flow cytometry procedures, and I understand the need to be deeply familiar with both upstream and downstream processes and requirements.  My past experiences as a researcher demonstrates attention to detail regarding quality control and reproducibility.   I specialize in instrument calibration and repair, ensuring reliable outcomes. My mastery of laboratory techniques, assay design, and instrumentation will maximize the productivity and accuracy of data and del</w:t>
      </w:r>
      <w:r>
        <w:t>iverables.</w:t>
      </w:r>
    </w:p>
    <w:p w:rsidR="00B147CA" w:rsidRDefault="006F0B68" w14:paraId="00000008" w14:textId="77777777">
      <w:pPr>
        <w:widowControl w:val="0"/>
        <w:pBdr>
          <w:top w:val="nil"/>
          <w:left w:val="nil"/>
          <w:bottom w:val="nil"/>
          <w:right w:val="nil"/>
          <w:between w:val="nil"/>
        </w:pBdr>
        <w:spacing w:before="336" w:line="240" w:lineRule="auto"/>
        <w:ind w:left="-446" w:right="28"/>
        <w:rPr>
          <w:rFonts w:ascii="Calibri" w:hAnsi="Calibri" w:eastAsia="Calibri" w:cs="Calibri"/>
          <w:b/>
          <w:sz w:val="24"/>
          <w:szCs w:val="24"/>
        </w:rPr>
      </w:pPr>
      <w:r>
        <w:rPr>
          <w:rFonts w:ascii="Calibri" w:hAnsi="Calibri" w:eastAsia="Calibri" w:cs="Calibri"/>
          <w:b/>
          <w:color w:val="000000"/>
          <w:sz w:val="24"/>
          <w:szCs w:val="24"/>
        </w:rPr>
        <w:t xml:space="preserve">Educational Background / Specialized Training / Awards </w:t>
      </w:r>
    </w:p>
    <w:p w:rsidR="00B147CA" w:rsidRDefault="006F0B68" w14:paraId="00000009" w14:textId="77777777">
      <w:pPr>
        <w:spacing w:line="240" w:lineRule="auto"/>
        <w:ind w:left="-450"/>
        <w:rPr>
          <w:rFonts w:ascii="Calibri" w:hAnsi="Calibri" w:eastAsia="Calibri" w:cs="Calibri"/>
          <w:sz w:val="24"/>
          <w:szCs w:val="24"/>
        </w:rPr>
      </w:pPr>
      <w:r>
        <w:rPr>
          <w:rFonts w:ascii="Calibri" w:hAnsi="Calibri" w:eastAsia="Calibri" w:cs="Calibri"/>
          <w:sz w:val="24"/>
          <w:szCs w:val="24"/>
        </w:rPr>
        <w:t xml:space="preserve">University of Minnesota: Bachelor of Arts in Physics (Graduated May 2011) </w:t>
      </w:r>
    </w:p>
    <w:p w:rsidR="00B147CA" w:rsidRDefault="00B147CA" w14:paraId="0000000A" w14:textId="77777777">
      <w:pPr>
        <w:spacing w:line="240" w:lineRule="auto"/>
        <w:ind w:left="-450"/>
        <w:rPr>
          <w:rFonts w:ascii="Calibri" w:hAnsi="Calibri" w:eastAsia="Calibri" w:cs="Calibri"/>
          <w:sz w:val="24"/>
          <w:szCs w:val="24"/>
        </w:rPr>
      </w:pPr>
    </w:p>
    <w:p w:rsidR="00B147CA" w:rsidRDefault="006F0B68" w14:paraId="0000000B" w14:textId="77777777">
      <w:pPr>
        <w:spacing w:line="240" w:lineRule="auto"/>
        <w:ind w:left="-450"/>
        <w:rPr>
          <w:rFonts w:ascii="Calibri" w:hAnsi="Calibri" w:eastAsia="Calibri" w:cs="Calibri"/>
          <w:sz w:val="24"/>
          <w:szCs w:val="24"/>
        </w:rPr>
      </w:pPr>
      <w:r>
        <w:rPr>
          <w:rFonts w:ascii="Calibri" w:hAnsi="Calibri" w:eastAsia="Calibri" w:cs="Calibri"/>
          <w:sz w:val="24"/>
          <w:szCs w:val="24"/>
        </w:rPr>
        <w:t xml:space="preserve">American Association of Immunologists: Immunology (2005) </w:t>
      </w:r>
    </w:p>
    <w:p w:rsidR="00B147CA" w:rsidRDefault="006F0B68" w14:paraId="0000000C" w14:textId="77777777">
      <w:pPr>
        <w:spacing w:line="240" w:lineRule="auto"/>
        <w:ind w:left="-450"/>
        <w:rPr>
          <w:rFonts w:ascii="Calibri" w:hAnsi="Calibri" w:eastAsia="Calibri" w:cs="Calibri"/>
          <w:sz w:val="24"/>
          <w:szCs w:val="24"/>
        </w:rPr>
      </w:pPr>
      <w:r>
        <w:rPr>
          <w:rFonts w:ascii="Calibri" w:hAnsi="Calibri" w:eastAsia="Calibri" w:cs="Calibri"/>
          <w:sz w:val="24"/>
          <w:szCs w:val="24"/>
        </w:rPr>
        <w:t xml:space="preserve">University of Minnesota (June 1998): Harry and Viola St. Cyr Scholarship in Physics </w:t>
      </w:r>
    </w:p>
    <w:p w:rsidR="00B147CA" w:rsidRDefault="00B147CA" w14:paraId="0000000D" w14:textId="77777777">
      <w:pPr>
        <w:keepLines/>
        <w:widowControl w:val="0"/>
        <w:pBdr>
          <w:top w:val="nil"/>
          <w:left w:val="nil"/>
          <w:bottom w:val="nil"/>
          <w:right w:val="nil"/>
          <w:between w:val="nil"/>
        </w:pBdr>
        <w:spacing w:line="240" w:lineRule="auto"/>
        <w:ind w:left="-446" w:right="-422"/>
        <w:rPr>
          <w:rFonts w:ascii="Calibri" w:hAnsi="Calibri" w:eastAsia="Calibri" w:cs="Calibri"/>
          <w:color w:val="000000"/>
          <w:sz w:val="24"/>
          <w:szCs w:val="24"/>
        </w:rPr>
      </w:pPr>
    </w:p>
    <w:p w:rsidR="00B147CA" w:rsidRDefault="006F0B68" w14:paraId="0000000E" w14:textId="77777777">
      <w:pPr>
        <w:keepLines/>
        <w:widowControl w:val="0"/>
        <w:pBdr>
          <w:top w:val="nil"/>
          <w:left w:val="nil"/>
          <w:bottom w:val="nil"/>
          <w:right w:val="nil"/>
          <w:between w:val="nil"/>
        </w:pBdr>
        <w:ind w:left="-446" w:right="-81"/>
        <w:rPr>
          <w:rFonts w:ascii="Calibri" w:hAnsi="Calibri" w:eastAsia="Calibri" w:cs="Calibri"/>
          <w:b/>
          <w:color w:val="000000"/>
          <w:sz w:val="24"/>
          <w:szCs w:val="24"/>
        </w:rPr>
      </w:pPr>
      <w:r>
        <w:rPr>
          <w:rFonts w:ascii="Calibri" w:hAnsi="Calibri" w:eastAsia="Calibri" w:cs="Calibri"/>
          <w:b/>
          <w:color w:val="000000"/>
          <w:sz w:val="24"/>
          <w:szCs w:val="24"/>
        </w:rPr>
        <w:t>Work Experience</w:t>
      </w:r>
    </w:p>
    <w:p w:rsidR="00B147CA" w:rsidRDefault="006F0B68" w14:paraId="0000000F" w14:textId="77777777">
      <w:pPr>
        <w:keepLines/>
        <w:widowControl w:val="0"/>
        <w:ind w:left="-446" w:right="-81"/>
        <w:rPr>
          <w:rFonts w:ascii="Calibri" w:hAnsi="Calibri" w:eastAsia="Calibri" w:cs="Calibri"/>
          <w:sz w:val="24"/>
          <w:szCs w:val="24"/>
        </w:rPr>
      </w:pPr>
      <w:r>
        <w:rPr>
          <w:rFonts w:ascii="Calibri" w:hAnsi="Calibri" w:eastAsia="Calibri" w:cs="Calibri"/>
          <w:sz w:val="24"/>
          <w:szCs w:val="24"/>
        </w:rPr>
        <w:t xml:space="preserve">November 2023 – Present: </w:t>
      </w:r>
    </w:p>
    <w:p w:rsidR="00B147CA" w:rsidRDefault="006F0B68" w14:paraId="00000010" w14:textId="77777777">
      <w:pPr>
        <w:widowControl w:val="0"/>
        <w:ind w:left="-446" w:right="-81"/>
        <w:rPr>
          <w:rFonts w:ascii="Calibri" w:hAnsi="Calibri" w:eastAsia="Calibri" w:cs="Calibri"/>
          <w:b/>
          <w:sz w:val="24"/>
          <w:szCs w:val="24"/>
        </w:rPr>
      </w:pPr>
      <w:r>
        <w:rPr>
          <w:rFonts w:ascii="Calibri" w:hAnsi="Calibri" w:eastAsia="Calibri" w:cs="Calibri"/>
          <w:b/>
          <w:sz w:val="24"/>
          <w:szCs w:val="24"/>
        </w:rPr>
        <w:t>University of Pittsburgh – School of Medicine: Rangos Research Flow Core (CHP)</w:t>
      </w:r>
    </w:p>
    <w:p w:rsidR="00B147CA" w:rsidRDefault="006F0B68" w14:paraId="00000011" w14:textId="77777777">
      <w:pPr>
        <w:widowControl w:val="0"/>
        <w:ind w:left="-446" w:right="-81"/>
        <w:rPr>
          <w:rFonts w:ascii="Calibri" w:hAnsi="Calibri" w:eastAsia="Calibri" w:cs="Calibri"/>
          <w:sz w:val="24"/>
          <w:szCs w:val="24"/>
        </w:rPr>
      </w:pPr>
      <w:r>
        <w:rPr>
          <w:rFonts w:ascii="Calibri" w:hAnsi="Calibri" w:eastAsia="Calibri" w:cs="Calibri"/>
          <w:sz w:val="24"/>
          <w:szCs w:val="24"/>
        </w:rPr>
        <w:t>Flow Core Operations Manager</w:t>
      </w:r>
    </w:p>
    <w:p w:rsidR="00B147CA" w:rsidRDefault="006F0B68" w14:paraId="00000012" w14:textId="77777777">
      <w:pPr>
        <w:widowControl w:val="0"/>
        <w:spacing w:line="240" w:lineRule="auto"/>
        <w:ind w:left="-446" w:right="-81"/>
        <w:rPr>
          <w:rFonts w:ascii="Calibri" w:hAnsi="Calibri" w:eastAsia="Calibri" w:cs="Calibri"/>
          <w:sz w:val="20"/>
          <w:szCs w:val="20"/>
        </w:rPr>
      </w:pPr>
      <w:r>
        <w:rPr>
          <w:rFonts w:ascii="Calibri" w:hAnsi="Calibri" w:eastAsia="Calibri" w:cs="Calibri"/>
          <w:sz w:val="20"/>
          <w:szCs w:val="20"/>
        </w:rPr>
        <w:t>In addition to the Duties listed below: Management of the Rangos Research Flow Cytometry Core at Children's Hospital of Pittsburgh of UPMC.</w:t>
      </w:r>
    </w:p>
    <w:p w:rsidR="00B147CA" w:rsidRDefault="00B147CA" w14:paraId="00000013" w14:textId="77777777">
      <w:pPr>
        <w:widowControl w:val="0"/>
        <w:spacing w:line="240" w:lineRule="auto"/>
        <w:ind w:left="-446" w:right="-81"/>
        <w:rPr>
          <w:rFonts w:ascii="Calibri" w:hAnsi="Calibri" w:eastAsia="Calibri" w:cs="Calibri"/>
          <w:sz w:val="20"/>
          <w:szCs w:val="20"/>
        </w:rPr>
      </w:pPr>
    </w:p>
    <w:p w:rsidR="00B147CA" w:rsidRDefault="006F0B68" w14:paraId="00000014" w14:textId="77777777">
      <w:pPr>
        <w:keepLines/>
        <w:widowControl w:val="0"/>
        <w:pBdr>
          <w:top w:val="nil"/>
          <w:left w:val="nil"/>
          <w:bottom w:val="nil"/>
          <w:right w:val="nil"/>
          <w:between w:val="nil"/>
        </w:pBdr>
        <w:ind w:left="-446" w:right="-81"/>
        <w:rPr>
          <w:rFonts w:ascii="Calibri" w:hAnsi="Calibri" w:eastAsia="Calibri" w:cs="Calibri"/>
          <w:sz w:val="24"/>
          <w:szCs w:val="24"/>
        </w:rPr>
      </w:pPr>
      <w:r>
        <w:rPr>
          <w:rFonts w:ascii="Calibri" w:hAnsi="Calibri" w:eastAsia="Calibri" w:cs="Calibri"/>
          <w:sz w:val="24"/>
          <w:szCs w:val="24"/>
        </w:rPr>
        <w:t xml:space="preserve">September 2016 – November 2023: </w:t>
      </w:r>
    </w:p>
    <w:p w:rsidR="00B147CA" w:rsidRDefault="006F0B68" w14:paraId="00000015" w14:textId="77777777">
      <w:pPr>
        <w:widowControl w:val="0"/>
        <w:ind w:left="-446" w:right="-81"/>
        <w:rPr>
          <w:rFonts w:ascii="Calibri" w:hAnsi="Calibri" w:eastAsia="Calibri" w:cs="Calibri"/>
          <w:b/>
          <w:sz w:val="24"/>
          <w:szCs w:val="24"/>
        </w:rPr>
      </w:pPr>
      <w:r>
        <w:rPr>
          <w:rFonts w:ascii="Calibri" w:hAnsi="Calibri" w:eastAsia="Calibri" w:cs="Calibri"/>
          <w:b/>
          <w:sz w:val="24"/>
          <w:szCs w:val="24"/>
        </w:rPr>
        <w:t>University of Pittsburgh – School of Medicine: Rangos Research Flow Core (CHP)</w:t>
      </w:r>
    </w:p>
    <w:p w:rsidR="00B147CA" w:rsidRDefault="006F0B68" w14:paraId="00000016" w14:textId="77777777">
      <w:pPr>
        <w:widowControl w:val="0"/>
        <w:ind w:left="-446" w:right="-81"/>
        <w:rPr>
          <w:rFonts w:ascii="Calibri" w:hAnsi="Calibri" w:eastAsia="Calibri" w:cs="Calibri"/>
          <w:sz w:val="24"/>
          <w:szCs w:val="24"/>
        </w:rPr>
      </w:pPr>
      <w:r>
        <w:rPr>
          <w:rFonts w:ascii="Calibri" w:hAnsi="Calibri" w:eastAsia="Calibri" w:cs="Calibri"/>
          <w:sz w:val="24"/>
          <w:szCs w:val="24"/>
        </w:rPr>
        <w:t xml:space="preserve">Senior Flow Core Technician  </w:t>
      </w:r>
    </w:p>
    <w:p w:rsidR="00B147CA" w:rsidRDefault="006F0B68" w14:paraId="00000017" w14:textId="77777777">
      <w:pPr>
        <w:widowControl w:val="0"/>
        <w:spacing w:line="240" w:lineRule="auto"/>
        <w:ind w:left="-446" w:right="-81"/>
        <w:rPr>
          <w:rFonts w:ascii="Calibri" w:hAnsi="Calibri" w:eastAsia="Calibri" w:cs="Calibri"/>
          <w:sz w:val="24"/>
          <w:szCs w:val="24"/>
        </w:rPr>
      </w:pPr>
      <w:r>
        <w:rPr>
          <w:rFonts w:ascii="Calibri" w:hAnsi="Calibri" w:eastAsia="Calibri" w:cs="Calibri"/>
          <w:sz w:val="20"/>
          <w:szCs w:val="20"/>
        </w:rPr>
        <w:t>Consultation and design of Flow Cytometry assays, Flow Cytometry instructor for PhD students / research fellows / faculty, conduct of research investigations, instrument maintenance, experiment design, consultation on external projects, and production of diagrams for publications and grant proposals.</w:t>
      </w:r>
    </w:p>
    <w:p w:rsidR="00B147CA" w:rsidRDefault="00B147CA" w14:paraId="00000018" w14:textId="77777777">
      <w:pPr>
        <w:widowControl w:val="0"/>
        <w:pBdr>
          <w:top w:val="nil"/>
          <w:left w:val="nil"/>
          <w:bottom w:val="nil"/>
          <w:right w:val="nil"/>
          <w:between w:val="nil"/>
        </w:pBdr>
        <w:spacing w:line="240" w:lineRule="auto"/>
        <w:ind w:left="-446" w:right="-81"/>
        <w:rPr>
          <w:rFonts w:ascii="Calibri" w:hAnsi="Calibri" w:eastAsia="Calibri" w:cs="Calibri"/>
          <w:sz w:val="24"/>
          <w:szCs w:val="24"/>
        </w:rPr>
      </w:pPr>
    </w:p>
    <w:p w:rsidR="00B147CA" w:rsidRDefault="006F0B68" w14:paraId="00000019" w14:textId="77777777">
      <w:pPr>
        <w:widowControl w:val="0"/>
        <w:pBdr>
          <w:top w:val="nil"/>
          <w:left w:val="nil"/>
          <w:bottom w:val="nil"/>
          <w:right w:val="nil"/>
          <w:between w:val="nil"/>
        </w:pBdr>
        <w:spacing w:line="240" w:lineRule="auto"/>
        <w:ind w:left="-446" w:right="-81"/>
        <w:rPr>
          <w:rFonts w:ascii="Calibri" w:hAnsi="Calibri" w:eastAsia="Calibri" w:cs="Calibri"/>
          <w:color w:val="000000"/>
          <w:sz w:val="24"/>
          <w:szCs w:val="24"/>
        </w:rPr>
      </w:pPr>
      <w:r>
        <w:rPr>
          <w:rFonts w:ascii="Calibri" w:hAnsi="Calibri" w:eastAsia="Calibri" w:cs="Calibri"/>
          <w:color w:val="000000"/>
          <w:sz w:val="24"/>
          <w:szCs w:val="24"/>
        </w:rPr>
        <w:t>Jan. 20</w:t>
      </w:r>
      <w:r>
        <w:rPr>
          <w:rFonts w:ascii="Calibri" w:hAnsi="Calibri" w:eastAsia="Calibri" w:cs="Calibri"/>
          <w:sz w:val="24"/>
          <w:szCs w:val="24"/>
        </w:rPr>
        <w:t>09</w:t>
      </w:r>
      <w:r>
        <w:rPr>
          <w:rFonts w:ascii="Calibri" w:hAnsi="Calibri" w:eastAsia="Calibri" w:cs="Calibri"/>
          <w:color w:val="000000"/>
          <w:sz w:val="24"/>
          <w:szCs w:val="24"/>
        </w:rPr>
        <w:t xml:space="preserve"> – </w:t>
      </w:r>
      <w:r>
        <w:rPr>
          <w:rFonts w:ascii="Calibri" w:hAnsi="Calibri" w:eastAsia="Calibri" w:cs="Calibri"/>
          <w:sz w:val="24"/>
          <w:szCs w:val="24"/>
        </w:rPr>
        <w:t>Sept. 2016</w:t>
      </w:r>
      <w:r>
        <w:rPr>
          <w:rFonts w:ascii="Calibri" w:hAnsi="Calibri" w:eastAsia="Calibri" w:cs="Calibri"/>
          <w:color w:val="000000"/>
          <w:sz w:val="24"/>
          <w:szCs w:val="24"/>
        </w:rPr>
        <w:t xml:space="preserve">: </w:t>
      </w:r>
    </w:p>
    <w:p w:rsidR="00B147CA" w:rsidRDefault="006F0B68" w14:paraId="0000001A" w14:textId="77777777">
      <w:pPr>
        <w:widowControl w:val="0"/>
        <w:pBdr>
          <w:top w:val="nil"/>
          <w:left w:val="nil"/>
          <w:bottom w:val="nil"/>
          <w:right w:val="nil"/>
          <w:between w:val="nil"/>
        </w:pBdr>
        <w:ind w:left="-446" w:right="-81"/>
        <w:rPr>
          <w:rFonts w:ascii="Calibri" w:hAnsi="Calibri" w:eastAsia="Calibri" w:cs="Calibri"/>
          <w:b/>
          <w:color w:val="000000"/>
          <w:sz w:val="24"/>
          <w:szCs w:val="24"/>
        </w:rPr>
      </w:pPr>
      <w:r>
        <w:rPr>
          <w:rFonts w:ascii="Calibri" w:hAnsi="Calibri" w:eastAsia="Calibri" w:cs="Calibri"/>
          <w:b/>
          <w:color w:val="000000"/>
          <w:sz w:val="24"/>
          <w:szCs w:val="24"/>
        </w:rPr>
        <w:t xml:space="preserve">University of Pittsburgh – School of Medicine: Pediatric Rheumatology </w:t>
      </w:r>
    </w:p>
    <w:p w:rsidR="00B147CA" w:rsidRDefault="006F0B68" w14:paraId="0000001B" w14:textId="77777777">
      <w:pPr>
        <w:widowControl w:val="0"/>
        <w:pBdr>
          <w:top w:val="nil"/>
          <w:left w:val="nil"/>
          <w:bottom w:val="nil"/>
          <w:right w:val="nil"/>
          <w:between w:val="nil"/>
        </w:pBdr>
        <w:ind w:left="-446" w:right="-81"/>
        <w:rPr>
          <w:rFonts w:ascii="Calibri" w:hAnsi="Calibri" w:eastAsia="Calibri" w:cs="Calibri"/>
          <w:sz w:val="24"/>
          <w:szCs w:val="24"/>
        </w:rPr>
      </w:pPr>
      <w:r>
        <w:rPr>
          <w:rFonts w:ascii="Calibri" w:hAnsi="Calibri" w:eastAsia="Calibri" w:cs="Calibri"/>
          <w:color w:val="000000"/>
          <w:sz w:val="24"/>
          <w:szCs w:val="24"/>
        </w:rPr>
        <w:t>Lab Manage</w:t>
      </w:r>
      <w:r>
        <w:rPr>
          <w:rFonts w:ascii="Calibri" w:hAnsi="Calibri" w:eastAsia="Calibri" w:cs="Calibri"/>
          <w:sz w:val="24"/>
          <w:szCs w:val="24"/>
        </w:rPr>
        <w:t>r</w:t>
      </w:r>
      <w:r>
        <w:rPr>
          <w:rFonts w:ascii="Calibri" w:hAnsi="Calibri" w:eastAsia="Calibri" w:cs="Calibri"/>
          <w:color w:val="000000"/>
          <w:sz w:val="24"/>
          <w:szCs w:val="24"/>
        </w:rPr>
        <w:t xml:space="preserve"> / Study Coordinator (Research IV)</w:t>
      </w:r>
      <w:r>
        <w:rPr>
          <w:rFonts w:ascii="Calibri" w:hAnsi="Calibri" w:eastAsia="Calibri" w:cs="Calibri"/>
          <w:sz w:val="24"/>
          <w:szCs w:val="24"/>
        </w:rPr>
        <w:t xml:space="preserve"> </w:t>
      </w:r>
    </w:p>
    <w:p w:rsidR="00B147CA" w:rsidRDefault="006F0B68" w14:paraId="0000001C" w14:textId="77777777">
      <w:pPr>
        <w:widowControl w:val="0"/>
        <w:pBdr>
          <w:top w:val="nil"/>
          <w:left w:val="nil"/>
          <w:bottom w:val="nil"/>
          <w:right w:val="nil"/>
          <w:between w:val="nil"/>
        </w:pBdr>
        <w:spacing w:line="240" w:lineRule="auto"/>
        <w:ind w:left="-446" w:right="-81"/>
        <w:rPr>
          <w:rFonts w:ascii="Calibri" w:hAnsi="Calibri" w:eastAsia="Calibri" w:cs="Calibri"/>
          <w:sz w:val="20"/>
          <w:szCs w:val="20"/>
        </w:rPr>
      </w:pPr>
      <w:r>
        <w:rPr>
          <w:rFonts w:ascii="Calibri" w:hAnsi="Calibri" w:eastAsia="Calibri" w:cs="Calibri"/>
          <w:sz w:val="20"/>
          <w:szCs w:val="20"/>
        </w:rPr>
        <w:t xml:space="preserve">Conduct of research investigations, experiment design, consultation on external projects, management of laboratory data and cryobanks, coordination of research protocols involving human subjects, coordination of animal specimen collection from Mayo Clinic (Rochester, MN), coordination of primate specimen collection and processing, trainer for X-Rad 160 and 320 X-Ray irradiators </w:t>
      </w:r>
    </w:p>
    <w:p w:rsidR="00B147CA" w:rsidRDefault="00B147CA" w14:paraId="0000001D" w14:textId="77777777">
      <w:pPr>
        <w:widowControl w:val="0"/>
        <w:pBdr>
          <w:top w:val="nil"/>
          <w:left w:val="nil"/>
          <w:bottom w:val="nil"/>
          <w:right w:val="nil"/>
          <w:between w:val="nil"/>
        </w:pBdr>
        <w:spacing w:line="240" w:lineRule="auto"/>
        <w:ind w:left="-446" w:right="-81"/>
        <w:rPr>
          <w:rFonts w:ascii="Calibri" w:hAnsi="Calibri" w:eastAsia="Calibri" w:cs="Calibri"/>
          <w:i/>
          <w:sz w:val="24"/>
          <w:szCs w:val="24"/>
        </w:rPr>
      </w:pPr>
    </w:p>
    <w:p w:rsidR="00B147CA" w:rsidRDefault="006F0B68" w14:paraId="0000001E" w14:textId="77777777">
      <w:pPr>
        <w:widowControl w:val="0"/>
        <w:pBdr>
          <w:top w:val="nil"/>
          <w:left w:val="nil"/>
          <w:bottom w:val="nil"/>
          <w:right w:val="nil"/>
          <w:between w:val="nil"/>
        </w:pBdr>
        <w:spacing w:line="240" w:lineRule="auto"/>
        <w:ind w:left="-446" w:right="-81"/>
        <w:rPr>
          <w:rFonts w:ascii="Calibri" w:hAnsi="Calibri" w:eastAsia="Calibri" w:cs="Calibri"/>
          <w:i/>
          <w:sz w:val="24"/>
          <w:szCs w:val="24"/>
        </w:rPr>
      </w:pPr>
      <w:r>
        <w:rPr>
          <w:rFonts w:ascii="Calibri" w:hAnsi="Calibri" w:eastAsia="Calibri" w:cs="Calibri"/>
          <w:color w:val="000000"/>
          <w:sz w:val="24"/>
          <w:szCs w:val="24"/>
        </w:rPr>
        <w:t>Flow Core Technician / Experimental Design Consultant: Rangos Research Flow Core</w:t>
      </w:r>
      <w:r>
        <w:rPr>
          <w:rFonts w:ascii="Calibri" w:hAnsi="Calibri" w:eastAsia="Calibri" w:cs="Calibri"/>
          <w:i/>
          <w:sz w:val="24"/>
          <w:szCs w:val="24"/>
        </w:rPr>
        <w:t xml:space="preserve"> </w:t>
      </w:r>
    </w:p>
    <w:p w:rsidR="00B147CA" w:rsidRDefault="006F0B68" w14:paraId="0000001F" w14:textId="77777777">
      <w:pPr>
        <w:widowControl w:val="0"/>
        <w:pBdr>
          <w:top w:val="nil"/>
          <w:left w:val="nil"/>
          <w:bottom w:val="nil"/>
          <w:right w:val="nil"/>
          <w:between w:val="nil"/>
        </w:pBdr>
        <w:spacing w:line="240" w:lineRule="auto"/>
        <w:ind w:left="-446" w:right="-81"/>
        <w:rPr>
          <w:rFonts w:ascii="Calibri" w:hAnsi="Calibri" w:eastAsia="Calibri" w:cs="Calibri"/>
          <w:sz w:val="20"/>
          <w:szCs w:val="20"/>
        </w:rPr>
      </w:pPr>
      <w:r>
        <w:rPr>
          <w:rFonts w:ascii="Calibri" w:hAnsi="Calibri" w:eastAsia="Calibri" w:cs="Calibri"/>
          <w:sz w:val="20"/>
          <w:szCs w:val="20"/>
        </w:rPr>
        <w:t>Cytometer operateration, Flow Cytometry instructor for PhD students / research fellows / faculty, design of 14+ color Flow Cytometry assays, production of diagrams for publications and grant proposals.</w:t>
      </w:r>
    </w:p>
    <w:p w:rsidR="00B147CA" w:rsidRDefault="006F0B68" w14:paraId="00000020" w14:textId="77777777">
      <w:pPr>
        <w:widowControl w:val="0"/>
        <w:pBdr>
          <w:top w:val="nil"/>
          <w:left w:val="nil"/>
          <w:bottom w:val="nil"/>
          <w:right w:val="nil"/>
          <w:between w:val="nil"/>
        </w:pBdr>
        <w:spacing w:line="240" w:lineRule="auto"/>
        <w:ind w:left="-446" w:right="-81"/>
      </w:pPr>
      <w:r>
        <w:rPr>
          <w:rFonts w:ascii="Calibri" w:hAnsi="Calibri" w:eastAsia="Calibri" w:cs="Calibri"/>
          <w:color w:val="000000"/>
          <w:sz w:val="24"/>
          <w:szCs w:val="24"/>
        </w:rPr>
        <w:t>June 2004 – Dec. 20</w:t>
      </w:r>
      <w:r>
        <w:rPr>
          <w:rFonts w:ascii="Calibri" w:hAnsi="Calibri" w:eastAsia="Calibri" w:cs="Calibri"/>
          <w:sz w:val="24"/>
          <w:szCs w:val="24"/>
        </w:rPr>
        <w:t>08</w:t>
      </w:r>
      <w:r>
        <w:rPr>
          <w:rFonts w:ascii="Calibri" w:hAnsi="Calibri" w:eastAsia="Calibri" w:cs="Calibri"/>
          <w:color w:val="000000"/>
          <w:sz w:val="24"/>
          <w:szCs w:val="24"/>
        </w:rPr>
        <w:t>: </w:t>
      </w:r>
    </w:p>
    <w:p w:rsidR="00B147CA" w:rsidRDefault="006F0B68" w14:paraId="00000021" w14:textId="77777777">
      <w:pPr>
        <w:widowControl w:val="0"/>
        <w:pBdr>
          <w:top w:val="nil"/>
          <w:left w:val="nil"/>
          <w:bottom w:val="nil"/>
          <w:right w:val="nil"/>
          <w:between w:val="nil"/>
        </w:pBdr>
        <w:ind w:left="-446" w:right="340"/>
        <w:rPr>
          <w:rFonts w:ascii="Calibri" w:hAnsi="Calibri" w:eastAsia="Calibri" w:cs="Calibri"/>
          <w:b/>
          <w:color w:val="000000"/>
          <w:sz w:val="24"/>
          <w:szCs w:val="24"/>
        </w:rPr>
      </w:pPr>
      <w:r>
        <w:rPr>
          <w:rFonts w:ascii="Calibri" w:hAnsi="Calibri" w:eastAsia="Calibri" w:cs="Calibri"/>
          <w:b/>
          <w:color w:val="000000"/>
          <w:sz w:val="24"/>
          <w:szCs w:val="24"/>
        </w:rPr>
        <w:t xml:space="preserve">Children’s Hospital of Pittsburgh of UPMC </w:t>
      </w:r>
      <w:r>
        <w:rPr>
          <w:rFonts w:ascii="Calibri" w:hAnsi="Calibri" w:eastAsia="Calibri" w:cs="Calibri"/>
          <w:b/>
          <w:sz w:val="24"/>
          <w:szCs w:val="24"/>
        </w:rPr>
        <w:t xml:space="preserve">– </w:t>
      </w:r>
      <w:r>
        <w:rPr>
          <w:rFonts w:ascii="Calibri" w:hAnsi="Calibri" w:eastAsia="Calibri" w:cs="Calibri"/>
          <w:b/>
          <w:color w:val="000000"/>
          <w:sz w:val="24"/>
          <w:szCs w:val="24"/>
        </w:rPr>
        <w:t xml:space="preserve">Pediatric Rheumatology </w:t>
      </w:r>
    </w:p>
    <w:p w:rsidR="00B147CA" w:rsidRDefault="006F0B68" w14:paraId="00000022" w14:textId="77777777">
      <w:pPr>
        <w:widowControl w:val="0"/>
        <w:pBdr>
          <w:top w:val="nil"/>
          <w:left w:val="nil"/>
          <w:bottom w:val="nil"/>
          <w:right w:val="nil"/>
          <w:between w:val="nil"/>
        </w:pBdr>
        <w:ind w:left="-446" w:right="340"/>
        <w:rPr>
          <w:rFonts w:ascii="Calibri" w:hAnsi="Calibri" w:eastAsia="Calibri" w:cs="Calibri"/>
          <w:sz w:val="24"/>
          <w:szCs w:val="24"/>
        </w:rPr>
      </w:pPr>
      <w:r>
        <w:rPr>
          <w:rFonts w:ascii="Calibri" w:hAnsi="Calibri" w:eastAsia="Calibri" w:cs="Calibri"/>
          <w:color w:val="000000"/>
          <w:sz w:val="24"/>
          <w:szCs w:val="24"/>
        </w:rPr>
        <w:t>Research Technician II – III</w:t>
      </w:r>
      <w:r>
        <w:rPr>
          <w:rFonts w:ascii="Calibri" w:hAnsi="Calibri" w:eastAsia="Calibri" w:cs="Calibri"/>
          <w:sz w:val="24"/>
          <w:szCs w:val="24"/>
        </w:rPr>
        <w:t xml:space="preserve">, </w:t>
      </w:r>
      <w:r>
        <w:rPr>
          <w:rFonts w:ascii="Calibri" w:hAnsi="Calibri" w:eastAsia="Calibri" w:cs="Calibri"/>
          <w:color w:val="000000"/>
          <w:sz w:val="24"/>
          <w:szCs w:val="24"/>
        </w:rPr>
        <w:t xml:space="preserve">Study Coordinator </w:t>
      </w:r>
    </w:p>
    <w:p w:rsidR="00B147CA" w:rsidRDefault="006F0B68" w14:paraId="00000023" w14:textId="77777777">
      <w:pPr>
        <w:widowControl w:val="0"/>
        <w:pBdr>
          <w:top w:val="nil"/>
          <w:left w:val="nil"/>
          <w:bottom w:val="nil"/>
          <w:right w:val="nil"/>
          <w:between w:val="nil"/>
        </w:pBdr>
        <w:spacing w:line="240" w:lineRule="auto"/>
        <w:ind w:left="-446" w:right="340"/>
        <w:rPr>
          <w:rFonts w:ascii="Calibri" w:hAnsi="Calibri" w:eastAsia="Calibri" w:cs="Calibri"/>
          <w:b/>
          <w:sz w:val="20"/>
          <w:szCs w:val="20"/>
        </w:rPr>
      </w:pPr>
      <w:r>
        <w:rPr>
          <w:rFonts w:ascii="Calibri" w:hAnsi="Calibri" w:eastAsia="Calibri" w:cs="Calibri"/>
          <w:color w:val="000000"/>
          <w:sz w:val="20"/>
          <w:szCs w:val="20"/>
        </w:rPr>
        <w:t>Conduct of research investigations and experimen</w:t>
      </w:r>
      <w:r>
        <w:rPr>
          <w:rFonts w:ascii="Calibri" w:hAnsi="Calibri" w:eastAsia="Calibri" w:cs="Calibri"/>
          <w:sz w:val="20"/>
          <w:szCs w:val="20"/>
        </w:rPr>
        <w:t>t</w:t>
      </w:r>
      <w:r>
        <w:rPr>
          <w:rFonts w:ascii="Calibri" w:hAnsi="Calibri" w:eastAsia="Calibri" w:cs="Calibri"/>
          <w:color w:val="000000"/>
          <w:sz w:val="20"/>
          <w:szCs w:val="20"/>
        </w:rPr>
        <w:t xml:space="preserve"> design, </w:t>
      </w:r>
      <w:r>
        <w:rPr>
          <w:rFonts w:ascii="Calibri" w:hAnsi="Calibri" w:eastAsia="Calibri" w:cs="Calibri"/>
          <w:sz w:val="20"/>
          <w:szCs w:val="20"/>
        </w:rPr>
        <w:t xml:space="preserve">management of laboratory data and cryobank, coordination of research protocols involving human subjects, coordination of animal specimen collection from Mayo Clinic (Rochester, MN), instructor for PhD students / research fellows on instrumentation and data analysis, design of 8 color Flow Cytometry assays, production of diagrams for publications and grant proposals </w:t>
      </w:r>
    </w:p>
    <w:p w:rsidR="00B147CA" w:rsidRDefault="00B147CA" w14:paraId="00000024" w14:textId="77777777">
      <w:pPr>
        <w:widowControl w:val="0"/>
        <w:pBdr>
          <w:top w:val="nil"/>
          <w:left w:val="nil"/>
          <w:bottom w:val="nil"/>
          <w:right w:val="nil"/>
          <w:between w:val="nil"/>
        </w:pBdr>
        <w:spacing w:line="240" w:lineRule="auto"/>
        <w:ind w:left="-446" w:right="340"/>
        <w:rPr>
          <w:rFonts w:ascii="Calibri" w:hAnsi="Calibri" w:eastAsia="Calibri" w:cs="Calibri"/>
          <w:b/>
          <w:i/>
          <w:sz w:val="24"/>
          <w:szCs w:val="24"/>
        </w:rPr>
      </w:pPr>
    </w:p>
    <w:p w:rsidR="00B147CA" w:rsidRDefault="006F0B68" w14:paraId="00000025" w14:textId="77777777">
      <w:pPr>
        <w:widowControl w:val="0"/>
        <w:pBdr>
          <w:top w:val="nil"/>
          <w:left w:val="nil"/>
          <w:bottom w:val="nil"/>
          <w:right w:val="nil"/>
          <w:between w:val="nil"/>
        </w:pBdr>
        <w:spacing w:line="240" w:lineRule="auto"/>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Nov. 2003 </w:t>
      </w:r>
      <w:r>
        <w:rPr>
          <w:rFonts w:ascii="Calibri" w:hAnsi="Calibri" w:eastAsia="Calibri" w:cs="Calibri"/>
          <w:sz w:val="24"/>
          <w:szCs w:val="24"/>
        </w:rPr>
        <w:t>–</w:t>
      </w:r>
      <w:r>
        <w:rPr>
          <w:rFonts w:ascii="Calibri" w:hAnsi="Calibri" w:eastAsia="Calibri" w:cs="Calibri"/>
          <w:color w:val="000000"/>
          <w:sz w:val="24"/>
          <w:szCs w:val="24"/>
        </w:rPr>
        <w:t xml:space="preserve"> March 2004: </w:t>
      </w:r>
    </w:p>
    <w:p w:rsidR="00B147CA" w:rsidRDefault="006F0B68" w14:paraId="00000026" w14:textId="77777777">
      <w:pPr>
        <w:widowControl w:val="0"/>
        <w:pBdr>
          <w:top w:val="nil"/>
          <w:left w:val="nil"/>
          <w:bottom w:val="nil"/>
          <w:right w:val="nil"/>
          <w:between w:val="nil"/>
        </w:pBdr>
        <w:ind w:left="-446" w:right="340"/>
        <w:rPr>
          <w:rFonts w:ascii="Calibri" w:hAnsi="Calibri" w:eastAsia="Calibri" w:cs="Calibri"/>
          <w:b/>
          <w:color w:val="000000"/>
          <w:sz w:val="24"/>
          <w:szCs w:val="24"/>
        </w:rPr>
      </w:pPr>
      <w:r>
        <w:rPr>
          <w:rFonts w:ascii="Calibri" w:hAnsi="Calibri" w:eastAsia="Calibri" w:cs="Calibri"/>
          <w:b/>
          <w:color w:val="000000"/>
          <w:sz w:val="24"/>
          <w:szCs w:val="24"/>
        </w:rPr>
        <w:t xml:space="preserve">Mayo Clinic </w:t>
      </w:r>
      <w:r>
        <w:rPr>
          <w:rFonts w:ascii="Calibri" w:hAnsi="Calibri" w:eastAsia="Calibri" w:cs="Calibri"/>
          <w:b/>
          <w:sz w:val="24"/>
          <w:szCs w:val="24"/>
        </w:rPr>
        <w:t>–</w:t>
      </w:r>
      <w:r>
        <w:rPr>
          <w:rFonts w:ascii="Calibri" w:hAnsi="Calibri" w:eastAsia="Calibri" w:cs="Calibri"/>
          <w:b/>
          <w:color w:val="000000"/>
          <w:sz w:val="24"/>
          <w:szCs w:val="24"/>
        </w:rPr>
        <w:t xml:space="preserve"> Rochester, MN </w:t>
      </w:r>
      <w:r>
        <w:rPr>
          <w:rFonts w:ascii="Calibri" w:hAnsi="Calibri" w:eastAsia="Calibri" w:cs="Calibri"/>
          <w:b/>
          <w:sz w:val="24"/>
          <w:szCs w:val="24"/>
        </w:rPr>
        <w:t xml:space="preserve">– </w:t>
      </w:r>
      <w:r>
        <w:rPr>
          <w:rFonts w:ascii="Calibri" w:hAnsi="Calibri" w:eastAsia="Calibri" w:cs="Calibri"/>
          <w:b/>
          <w:color w:val="000000"/>
          <w:sz w:val="24"/>
          <w:szCs w:val="24"/>
        </w:rPr>
        <w:t xml:space="preserve">Rheumatology Research </w:t>
      </w:r>
    </w:p>
    <w:p w:rsidR="00B147CA" w:rsidRDefault="006F0B68" w14:paraId="00000027" w14:textId="77777777">
      <w:pPr>
        <w:widowControl w:val="0"/>
        <w:pBdr>
          <w:top w:val="nil"/>
          <w:left w:val="nil"/>
          <w:bottom w:val="nil"/>
          <w:right w:val="nil"/>
          <w:between w:val="nil"/>
        </w:pBdr>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Research Technologist </w:t>
      </w:r>
    </w:p>
    <w:p w:rsidR="00B147CA" w:rsidRDefault="006F0B68" w14:paraId="00000028" w14:textId="77777777">
      <w:pPr>
        <w:widowControl w:val="0"/>
        <w:pBdr>
          <w:top w:val="nil"/>
          <w:left w:val="nil"/>
          <w:bottom w:val="nil"/>
          <w:right w:val="nil"/>
          <w:between w:val="nil"/>
        </w:pBdr>
        <w:spacing w:line="240" w:lineRule="auto"/>
        <w:ind w:left="-446" w:right="340"/>
        <w:rPr>
          <w:rFonts w:ascii="Calibri" w:hAnsi="Calibri" w:eastAsia="Calibri" w:cs="Calibri"/>
          <w:sz w:val="20"/>
          <w:szCs w:val="20"/>
        </w:rPr>
      </w:pPr>
      <w:r>
        <w:rPr>
          <w:rFonts w:ascii="Calibri" w:hAnsi="Calibri" w:eastAsia="Calibri" w:cs="Calibri"/>
          <w:color w:val="000000"/>
          <w:sz w:val="20"/>
          <w:szCs w:val="20"/>
        </w:rPr>
        <w:t xml:space="preserve">Conduct of research investigations, </w:t>
      </w:r>
      <w:r>
        <w:rPr>
          <w:rFonts w:ascii="Calibri" w:hAnsi="Calibri" w:eastAsia="Calibri" w:cs="Calibri"/>
          <w:sz w:val="20"/>
          <w:szCs w:val="20"/>
        </w:rPr>
        <w:t xml:space="preserve">cell culture, tissue culture, blood and tissue processing for live cell assays, cryopreservation and tissue banking, FACS staining / cytometer operation, prepared lab for move from Mayo Clinic (Rochester, MN) to Children's Hospital of Pittsburgh </w:t>
      </w:r>
    </w:p>
    <w:p w:rsidR="00B147CA" w:rsidRDefault="00B147CA" w14:paraId="00000029" w14:textId="77777777">
      <w:pPr>
        <w:widowControl w:val="0"/>
        <w:pBdr>
          <w:top w:val="nil"/>
          <w:left w:val="nil"/>
          <w:bottom w:val="nil"/>
          <w:right w:val="nil"/>
          <w:between w:val="nil"/>
        </w:pBdr>
        <w:spacing w:line="240" w:lineRule="auto"/>
        <w:ind w:left="-446" w:right="340"/>
        <w:rPr>
          <w:rFonts w:ascii="Calibri" w:hAnsi="Calibri" w:eastAsia="Calibri" w:cs="Calibri"/>
          <w:i/>
          <w:sz w:val="24"/>
          <w:szCs w:val="24"/>
        </w:rPr>
      </w:pPr>
    </w:p>
    <w:p w:rsidR="00B147CA" w:rsidRDefault="006F0B68" w14:paraId="0000002A" w14:textId="77777777">
      <w:pPr>
        <w:widowControl w:val="0"/>
        <w:pBdr>
          <w:top w:val="nil"/>
          <w:left w:val="nil"/>
          <w:bottom w:val="nil"/>
          <w:right w:val="nil"/>
          <w:between w:val="nil"/>
        </w:pBdr>
        <w:spacing w:line="240" w:lineRule="auto"/>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Jan. 2000 </w:t>
      </w:r>
      <w:r>
        <w:rPr>
          <w:rFonts w:ascii="Calibri" w:hAnsi="Calibri" w:eastAsia="Calibri" w:cs="Calibri"/>
          <w:sz w:val="24"/>
          <w:szCs w:val="24"/>
        </w:rPr>
        <w:t>–</w:t>
      </w:r>
      <w:r>
        <w:rPr>
          <w:rFonts w:ascii="Calibri" w:hAnsi="Calibri" w:eastAsia="Calibri" w:cs="Calibri"/>
          <w:color w:val="000000"/>
          <w:sz w:val="24"/>
          <w:szCs w:val="24"/>
        </w:rPr>
        <w:t xml:space="preserve"> Jan. 2002: </w:t>
      </w:r>
    </w:p>
    <w:p w:rsidR="00B147CA" w:rsidRDefault="006F0B68" w14:paraId="0000002B" w14:textId="77777777">
      <w:pPr>
        <w:widowControl w:val="0"/>
        <w:pBdr>
          <w:top w:val="nil"/>
          <w:left w:val="nil"/>
          <w:bottom w:val="nil"/>
          <w:right w:val="nil"/>
          <w:between w:val="nil"/>
        </w:pBdr>
        <w:ind w:left="-446" w:right="340"/>
        <w:rPr>
          <w:rFonts w:ascii="Calibri" w:hAnsi="Calibri" w:eastAsia="Calibri" w:cs="Calibri"/>
          <w:b/>
          <w:color w:val="000000"/>
          <w:sz w:val="24"/>
          <w:szCs w:val="24"/>
        </w:rPr>
      </w:pPr>
      <w:r>
        <w:rPr>
          <w:rFonts w:ascii="Calibri" w:hAnsi="Calibri" w:eastAsia="Calibri" w:cs="Calibri"/>
          <w:b/>
          <w:color w:val="000000"/>
          <w:sz w:val="24"/>
          <w:szCs w:val="24"/>
        </w:rPr>
        <w:t xml:space="preserve">University of Minnesota Twin Cities </w:t>
      </w:r>
      <w:r>
        <w:rPr>
          <w:rFonts w:ascii="Calibri" w:hAnsi="Calibri" w:eastAsia="Calibri" w:cs="Calibri"/>
          <w:b/>
          <w:sz w:val="24"/>
          <w:szCs w:val="24"/>
        </w:rPr>
        <w:t>–</w:t>
      </w:r>
      <w:r>
        <w:rPr>
          <w:rFonts w:ascii="Calibri" w:hAnsi="Calibri" w:eastAsia="Calibri" w:cs="Calibri"/>
          <w:b/>
          <w:color w:val="000000"/>
          <w:sz w:val="24"/>
          <w:szCs w:val="24"/>
        </w:rPr>
        <w:t xml:space="preserve"> Physics Department </w:t>
      </w:r>
    </w:p>
    <w:p w:rsidR="00B147CA" w:rsidRDefault="006F0B68" w14:paraId="0000002C" w14:textId="77777777">
      <w:pPr>
        <w:widowControl w:val="0"/>
        <w:pBdr>
          <w:top w:val="nil"/>
          <w:left w:val="nil"/>
          <w:bottom w:val="nil"/>
          <w:right w:val="nil"/>
          <w:between w:val="nil"/>
        </w:pBdr>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Teaching Assistant </w:t>
      </w:r>
    </w:p>
    <w:p w:rsidR="00B147CA" w:rsidRDefault="006F0B68" w14:paraId="0000002D" w14:textId="77777777">
      <w:pPr>
        <w:widowControl w:val="0"/>
        <w:pBdr>
          <w:top w:val="nil"/>
          <w:left w:val="nil"/>
          <w:bottom w:val="nil"/>
          <w:right w:val="nil"/>
          <w:between w:val="nil"/>
        </w:pBdr>
        <w:spacing w:line="240" w:lineRule="auto"/>
        <w:ind w:left="-446" w:right="340"/>
        <w:rPr>
          <w:rFonts w:ascii="Calibri" w:hAnsi="Calibri" w:eastAsia="Calibri" w:cs="Calibri"/>
          <w:sz w:val="20"/>
          <w:szCs w:val="20"/>
        </w:rPr>
      </w:pPr>
      <w:r>
        <w:rPr>
          <w:rFonts w:ascii="Calibri" w:hAnsi="Calibri" w:eastAsia="Calibri" w:cs="Calibri"/>
          <w:sz w:val="20"/>
          <w:szCs w:val="20"/>
        </w:rPr>
        <w:t>M</w:t>
      </w:r>
      <w:r>
        <w:rPr>
          <w:rFonts w:ascii="Calibri" w:hAnsi="Calibri" w:eastAsia="Calibri" w:cs="Calibri"/>
          <w:color w:val="000000"/>
          <w:sz w:val="20"/>
          <w:szCs w:val="20"/>
        </w:rPr>
        <w:t xml:space="preserve">anagement of physics demonstration equipment, preparation of </w:t>
      </w:r>
      <w:r>
        <w:rPr>
          <w:rFonts w:ascii="Calibri" w:hAnsi="Calibri" w:eastAsia="Calibri" w:cs="Calibri"/>
          <w:sz w:val="20"/>
          <w:szCs w:val="20"/>
        </w:rPr>
        <w:t xml:space="preserve">physics demonstrations, equipment repair, database management, creation of digital movies of demonstrations for web access, handling of radioactive specimens for demonstration </w:t>
      </w:r>
    </w:p>
    <w:p w:rsidR="00B147CA" w:rsidRDefault="00B147CA" w14:paraId="0000002E" w14:textId="77777777">
      <w:pPr>
        <w:widowControl w:val="0"/>
        <w:pBdr>
          <w:top w:val="nil"/>
          <w:left w:val="nil"/>
          <w:bottom w:val="nil"/>
          <w:right w:val="nil"/>
          <w:between w:val="nil"/>
        </w:pBdr>
        <w:spacing w:line="240" w:lineRule="auto"/>
        <w:ind w:left="-446" w:right="340"/>
        <w:rPr>
          <w:rFonts w:ascii="Calibri" w:hAnsi="Calibri" w:eastAsia="Calibri" w:cs="Calibri"/>
          <w:i/>
          <w:sz w:val="24"/>
          <w:szCs w:val="24"/>
        </w:rPr>
      </w:pPr>
    </w:p>
    <w:p w:rsidR="00B147CA" w:rsidRDefault="006F0B68" w14:paraId="0000002F" w14:textId="77777777">
      <w:pPr>
        <w:widowControl w:val="0"/>
        <w:pBdr>
          <w:top w:val="nil"/>
          <w:left w:val="nil"/>
          <w:bottom w:val="nil"/>
          <w:right w:val="nil"/>
          <w:between w:val="nil"/>
        </w:pBdr>
        <w:spacing w:line="240" w:lineRule="auto"/>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Summer 1999, 2000: </w:t>
      </w:r>
    </w:p>
    <w:p w:rsidR="00B147CA" w:rsidRDefault="006F0B68" w14:paraId="00000030" w14:textId="77777777">
      <w:pPr>
        <w:widowControl w:val="0"/>
        <w:pBdr>
          <w:top w:val="nil"/>
          <w:left w:val="nil"/>
          <w:bottom w:val="nil"/>
          <w:right w:val="nil"/>
          <w:between w:val="nil"/>
        </w:pBdr>
        <w:ind w:left="-446" w:right="340"/>
        <w:rPr>
          <w:rFonts w:ascii="Calibri" w:hAnsi="Calibri" w:eastAsia="Calibri" w:cs="Calibri"/>
          <w:b/>
          <w:color w:val="000000"/>
          <w:sz w:val="24"/>
          <w:szCs w:val="24"/>
        </w:rPr>
      </w:pPr>
      <w:r>
        <w:rPr>
          <w:rFonts w:ascii="Calibri" w:hAnsi="Calibri" w:eastAsia="Calibri" w:cs="Calibri"/>
          <w:b/>
          <w:color w:val="000000"/>
          <w:sz w:val="24"/>
          <w:szCs w:val="24"/>
        </w:rPr>
        <w:t xml:space="preserve">University of Minnesota Twin Cities </w:t>
      </w:r>
      <w:r>
        <w:rPr>
          <w:rFonts w:ascii="Calibri" w:hAnsi="Calibri" w:eastAsia="Calibri" w:cs="Calibri"/>
          <w:b/>
          <w:sz w:val="24"/>
          <w:szCs w:val="24"/>
        </w:rPr>
        <w:t>–</w:t>
      </w:r>
      <w:r>
        <w:rPr>
          <w:rFonts w:ascii="Calibri" w:hAnsi="Calibri" w:eastAsia="Calibri" w:cs="Calibri"/>
          <w:b/>
          <w:color w:val="000000"/>
          <w:sz w:val="24"/>
          <w:szCs w:val="24"/>
        </w:rPr>
        <w:t xml:space="preserve"> Plant Pathology </w:t>
      </w:r>
    </w:p>
    <w:p w:rsidR="00B147CA" w:rsidRDefault="006F0B68" w14:paraId="00000031" w14:textId="77777777">
      <w:pPr>
        <w:widowControl w:val="0"/>
        <w:pBdr>
          <w:top w:val="nil"/>
          <w:left w:val="nil"/>
          <w:bottom w:val="nil"/>
          <w:right w:val="nil"/>
          <w:between w:val="nil"/>
        </w:pBdr>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Laboratory Assistant </w:t>
      </w:r>
    </w:p>
    <w:p w:rsidR="00B147CA" w:rsidRDefault="006F0B68" w14:paraId="00000032" w14:textId="77777777">
      <w:pPr>
        <w:widowControl w:val="0"/>
        <w:pBdr>
          <w:top w:val="nil"/>
          <w:left w:val="nil"/>
          <w:bottom w:val="nil"/>
          <w:right w:val="nil"/>
          <w:between w:val="nil"/>
        </w:pBdr>
        <w:spacing w:line="240" w:lineRule="auto"/>
        <w:ind w:left="-446" w:right="340"/>
        <w:rPr>
          <w:rFonts w:ascii="Calibri" w:hAnsi="Calibri" w:eastAsia="Calibri" w:cs="Calibri"/>
          <w:sz w:val="20"/>
          <w:szCs w:val="20"/>
        </w:rPr>
      </w:pPr>
      <w:r>
        <w:rPr>
          <w:rFonts w:ascii="Calibri" w:hAnsi="Calibri" w:eastAsia="Calibri" w:cs="Calibri"/>
          <w:color w:val="000000"/>
          <w:sz w:val="20"/>
          <w:szCs w:val="20"/>
        </w:rPr>
        <w:t xml:space="preserve">Arbuscular </w:t>
      </w:r>
      <w:r>
        <w:rPr>
          <w:rFonts w:ascii="Calibri" w:hAnsi="Calibri" w:eastAsia="Calibri" w:cs="Calibri"/>
          <w:sz w:val="20"/>
          <w:szCs w:val="20"/>
        </w:rPr>
        <w:t>Endomycorrhizal</w:t>
      </w:r>
      <w:r>
        <w:rPr>
          <w:rFonts w:ascii="Calibri" w:hAnsi="Calibri" w:eastAsia="Calibri" w:cs="Calibri"/>
          <w:color w:val="000000"/>
          <w:sz w:val="20"/>
          <w:szCs w:val="20"/>
        </w:rPr>
        <w:t xml:space="preserve"> </w:t>
      </w:r>
      <w:r>
        <w:rPr>
          <w:rFonts w:ascii="Calibri" w:hAnsi="Calibri" w:eastAsia="Calibri" w:cs="Calibri"/>
          <w:sz w:val="20"/>
          <w:szCs w:val="20"/>
        </w:rPr>
        <w:t>p</w:t>
      </w:r>
      <w:r>
        <w:rPr>
          <w:rFonts w:ascii="Calibri" w:hAnsi="Calibri" w:eastAsia="Calibri" w:cs="Calibri"/>
          <w:color w:val="000000"/>
          <w:sz w:val="20"/>
          <w:szCs w:val="20"/>
        </w:rPr>
        <w:t>roject</w:t>
      </w:r>
      <w:r>
        <w:rPr>
          <w:rFonts w:ascii="Calibri" w:hAnsi="Calibri" w:eastAsia="Calibri" w:cs="Calibri"/>
          <w:sz w:val="20"/>
          <w:szCs w:val="20"/>
        </w:rPr>
        <w:t xml:space="preserve">: Maintenance of plant and soil specimens, identification of fungal spores, staining of endomycorrhizae infected grass roots </w:t>
      </w:r>
    </w:p>
    <w:p w:rsidR="00B147CA" w:rsidRDefault="00B147CA" w14:paraId="00000033" w14:textId="77777777">
      <w:pPr>
        <w:widowControl w:val="0"/>
        <w:pBdr>
          <w:top w:val="nil"/>
          <w:left w:val="nil"/>
          <w:bottom w:val="nil"/>
          <w:right w:val="nil"/>
          <w:between w:val="nil"/>
        </w:pBdr>
        <w:spacing w:line="240" w:lineRule="auto"/>
        <w:ind w:left="-446" w:right="340"/>
        <w:rPr>
          <w:rFonts w:ascii="Calibri" w:hAnsi="Calibri" w:eastAsia="Calibri" w:cs="Calibri"/>
          <w:i/>
          <w:sz w:val="24"/>
          <w:szCs w:val="24"/>
        </w:rPr>
      </w:pPr>
    </w:p>
    <w:p w:rsidR="00B147CA" w:rsidRDefault="006F0B68" w14:paraId="00000034" w14:textId="77777777">
      <w:pPr>
        <w:widowControl w:val="0"/>
        <w:pBdr>
          <w:top w:val="nil"/>
          <w:left w:val="nil"/>
          <w:bottom w:val="nil"/>
          <w:right w:val="nil"/>
          <w:between w:val="nil"/>
        </w:pBdr>
        <w:spacing w:line="240" w:lineRule="auto"/>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Jan. 1999 – June 2001: </w:t>
      </w:r>
    </w:p>
    <w:p w:rsidR="00B147CA" w:rsidRDefault="006F0B68" w14:paraId="00000035" w14:textId="77777777">
      <w:pPr>
        <w:widowControl w:val="0"/>
        <w:pBdr>
          <w:top w:val="nil"/>
          <w:left w:val="nil"/>
          <w:bottom w:val="nil"/>
          <w:right w:val="nil"/>
          <w:between w:val="nil"/>
        </w:pBdr>
        <w:ind w:left="-446" w:right="340"/>
        <w:rPr>
          <w:rFonts w:ascii="Calibri" w:hAnsi="Calibri" w:eastAsia="Calibri" w:cs="Calibri"/>
          <w:b/>
          <w:color w:val="000000"/>
          <w:sz w:val="24"/>
          <w:szCs w:val="24"/>
        </w:rPr>
      </w:pPr>
      <w:r>
        <w:rPr>
          <w:rFonts w:ascii="Calibri" w:hAnsi="Calibri" w:eastAsia="Calibri" w:cs="Calibri"/>
          <w:b/>
          <w:color w:val="000000"/>
          <w:sz w:val="24"/>
          <w:szCs w:val="24"/>
        </w:rPr>
        <w:t xml:space="preserve">University of Minnesota Twin Cities </w:t>
      </w:r>
      <w:r>
        <w:rPr>
          <w:rFonts w:ascii="Calibri" w:hAnsi="Calibri" w:eastAsia="Calibri" w:cs="Calibri"/>
          <w:b/>
          <w:sz w:val="24"/>
          <w:szCs w:val="24"/>
        </w:rPr>
        <w:t>–</w:t>
      </w:r>
      <w:r>
        <w:rPr>
          <w:rFonts w:ascii="Calibri" w:hAnsi="Calibri" w:eastAsia="Calibri" w:cs="Calibri"/>
          <w:b/>
          <w:color w:val="000000"/>
          <w:sz w:val="24"/>
          <w:szCs w:val="24"/>
        </w:rPr>
        <w:t xml:space="preserve"> Academic Tutor </w:t>
      </w:r>
    </w:p>
    <w:p w:rsidR="00B147CA" w:rsidRDefault="006F0B68" w14:paraId="00000036" w14:textId="77777777">
      <w:pPr>
        <w:widowControl w:val="0"/>
        <w:pBdr>
          <w:top w:val="nil"/>
          <w:left w:val="nil"/>
          <w:bottom w:val="nil"/>
          <w:right w:val="nil"/>
          <w:between w:val="nil"/>
        </w:pBdr>
        <w:ind w:left="-446" w:right="340"/>
        <w:rPr>
          <w:rFonts w:ascii="Calibri" w:hAnsi="Calibri" w:eastAsia="Calibri" w:cs="Calibri"/>
          <w:color w:val="000000"/>
          <w:sz w:val="24"/>
          <w:szCs w:val="24"/>
        </w:rPr>
      </w:pPr>
      <w:r>
        <w:rPr>
          <w:rFonts w:ascii="Calibri" w:hAnsi="Calibri" w:eastAsia="Calibri" w:cs="Calibri"/>
          <w:color w:val="000000"/>
          <w:sz w:val="24"/>
          <w:szCs w:val="24"/>
        </w:rPr>
        <w:t xml:space="preserve">Academic Tutor, Athletics Department </w:t>
      </w:r>
    </w:p>
    <w:p w:rsidR="00B147CA" w:rsidRDefault="006F0B68" w14:paraId="00000037" w14:textId="77777777">
      <w:pPr>
        <w:widowControl w:val="0"/>
        <w:pBdr>
          <w:top w:val="nil"/>
          <w:left w:val="nil"/>
          <w:bottom w:val="nil"/>
          <w:right w:val="nil"/>
          <w:between w:val="nil"/>
        </w:pBdr>
        <w:spacing w:line="240" w:lineRule="auto"/>
        <w:ind w:left="-446" w:right="340"/>
        <w:rPr>
          <w:rFonts w:ascii="Calibri" w:hAnsi="Calibri" w:eastAsia="Calibri" w:cs="Calibri"/>
          <w:color w:val="000000"/>
          <w:sz w:val="20"/>
          <w:szCs w:val="20"/>
        </w:rPr>
      </w:pPr>
      <w:r>
        <w:rPr>
          <w:rFonts w:ascii="Calibri" w:hAnsi="Calibri" w:eastAsia="Calibri" w:cs="Calibri"/>
          <w:color w:val="000000"/>
          <w:sz w:val="20"/>
          <w:szCs w:val="20"/>
        </w:rPr>
        <w:t xml:space="preserve">Mathematics through </w:t>
      </w:r>
      <w:r>
        <w:rPr>
          <w:rFonts w:ascii="Calibri" w:hAnsi="Calibri" w:eastAsia="Calibri" w:cs="Calibri"/>
          <w:sz w:val="20"/>
          <w:szCs w:val="20"/>
        </w:rPr>
        <w:t>multivariable</w:t>
      </w:r>
      <w:r>
        <w:rPr>
          <w:rFonts w:ascii="Calibri" w:hAnsi="Calibri" w:eastAsia="Calibri" w:cs="Calibri"/>
          <w:color w:val="000000"/>
          <w:sz w:val="20"/>
          <w:szCs w:val="20"/>
        </w:rPr>
        <w:t xml:space="preserve"> calculus</w:t>
      </w:r>
      <w:r>
        <w:rPr>
          <w:rFonts w:ascii="Calibri" w:hAnsi="Calibri" w:eastAsia="Calibri" w:cs="Calibri"/>
          <w:sz w:val="20"/>
          <w:szCs w:val="20"/>
        </w:rPr>
        <w:t xml:space="preserve">, </w:t>
      </w:r>
      <w:r>
        <w:rPr>
          <w:rFonts w:ascii="Calibri" w:hAnsi="Calibri" w:eastAsia="Calibri" w:cs="Calibri"/>
          <w:color w:val="000000"/>
          <w:sz w:val="20"/>
          <w:szCs w:val="20"/>
        </w:rPr>
        <w:t>Biolog</w:t>
      </w:r>
      <w:r>
        <w:rPr>
          <w:rFonts w:ascii="Calibri" w:hAnsi="Calibri" w:eastAsia="Calibri" w:cs="Calibri"/>
          <w:sz w:val="20"/>
          <w:szCs w:val="20"/>
        </w:rPr>
        <w:t xml:space="preserve">y, </w:t>
      </w:r>
      <w:r>
        <w:rPr>
          <w:rFonts w:ascii="Calibri" w:hAnsi="Calibri" w:eastAsia="Calibri" w:cs="Calibri"/>
          <w:color w:val="000000"/>
          <w:sz w:val="20"/>
          <w:szCs w:val="20"/>
        </w:rPr>
        <w:t>Physics</w:t>
      </w:r>
      <w:r>
        <w:rPr>
          <w:rFonts w:ascii="Calibri" w:hAnsi="Calibri" w:eastAsia="Calibri" w:cs="Calibri"/>
          <w:sz w:val="20"/>
          <w:szCs w:val="20"/>
        </w:rPr>
        <w:t xml:space="preserve">, </w:t>
      </w:r>
      <w:r>
        <w:rPr>
          <w:rFonts w:ascii="Calibri" w:hAnsi="Calibri" w:eastAsia="Calibri" w:cs="Calibri"/>
          <w:color w:val="000000"/>
          <w:sz w:val="20"/>
          <w:szCs w:val="20"/>
        </w:rPr>
        <w:t xml:space="preserve">Chemistry </w:t>
      </w:r>
    </w:p>
    <w:p w:rsidR="00B147CA" w:rsidRDefault="006F0B68" w14:paraId="00000038" w14:textId="77777777">
      <w:pPr>
        <w:widowControl w:val="0"/>
        <w:spacing w:before="336" w:line="240" w:lineRule="auto"/>
        <w:ind w:left="-446" w:right="-225"/>
        <w:rPr>
          <w:rFonts w:ascii="Calibri" w:hAnsi="Calibri" w:eastAsia="Calibri" w:cs="Calibri"/>
          <w:b/>
          <w:sz w:val="24"/>
          <w:szCs w:val="24"/>
        </w:rPr>
      </w:pPr>
      <w:r>
        <w:rPr>
          <w:rFonts w:ascii="Calibri" w:hAnsi="Calibri" w:eastAsia="Calibri" w:cs="Calibri"/>
          <w:b/>
          <w:sz w:val="24"/>
          <w:szCs w:val="24"/>
        </w:rPr>
        <w:t xml:space="preserve">Laboratory Techniques and Expertise </w:t>
      </w:r>
    </w:p>
    <w:p w:rsidR="00B147CA" w:rsidRDefault="006F0B68" w14:paraId="00000039" w14:textId="77777777">
      <w:pPr>
        <w:widowControl w:val="0"/>
        <w:spacing w:line="240" w:lineRule="auto"/>
        <w:ind w:left="-446" w:right="-225"/>
        <w:rPr>
          <w:rFonts w:ascii="Calibri" w:hAnsi="Calibri" w:eastAsia="Calibri" w:cs="Calibri"/>
          <w:sz w:val="24"/>
          <w:szCs w:val="24"/>
        </w:rPr>
      </w:pPr>
      <w:r>
        <w:rPr>
          <w:rFonts w:ascii="Calibri" w:hAnsi="Calibri" w:eastAsia="Calibri" w:cs="Calibri"/>
          <w:sz w:val="24"/>
          <w:szCs w:val="24"/>
        </w:rPr>
        <w:t xml:space="preserve">Flow Cytometry, ELISA, Luminex, Western Blotting, RT-PCR (multicolor), PAGE, Cell Culture (Bacterial and Mammalian), IHC, Fluorescent Microscopy, Dissection (Mouse), Tissue Processing (Human, Primate, Mouse, Rat), Cryopreservation, Instrument Repair </w:t>
      </w:r>
    </w:p>
    <w:p w:rsidR="00B147CA" w:rsidRDefault="006F0B68" w14:paraId="0000003A" w14:textId="77777777">
      <w:pPr>
        <w:widowControl w:val="0"/>
        <w:spacing w:line="240" w:lineRule="auto"/>
        <w:ind w:left="-446" w:right="-225"/>
        <w:rPr>
          <w:rFonts w:ascii="Calibri" w:hAnsi="Calibri" w:eastAsia="Calibri" w:cs="Calibri"/>
          <w:sz w:val="24"/>
          <w:szCs w:val="24"/>
        </w:rPr>
      </w:pPr>
      <w:r>
        <w:rPr>
          <w:rFonts w:ascii="Calibri" w:hAnsi="Calibri" w:eastAsia="Calibri" w:cs="Calibri"/>
          <w:sz w:val="24"/>
          <w:szCs w:val="24"/>
        </w:rPr>
        <w:t xml:space="preserve"> </w:t>
      </w:r>
    </w:p>
    <w:p w:rsidR="00B147CA" w:rsidRDefault="006F0B68" w14:paraId="0000003B" w14:textId="77777777">
      <w:pPr>
        <w:widowControl w:val="0"/>
        <w:spacing w:line="240" w:lineRule="auto"/>
        <w:ind w:left="-446" w:right="-422"/>
        <w:rPr>
          <w:rFonts w:ascii="Calibri" w:hAnsi="Calibri" w:eastAsia="Calibri" w:cs="Calibri"/>
          <w:b/>
          <w:sz w:val="24"/>
          <w:szCs w:val="24"/>
        </w:rPr>
      </w:pPr>
      <w:r>
        <w:rPr>
          <w:rFonts w:ascii="Calibri" w:hAnsi="Calibri" w:eastAsia="Calibri" w:cs="Calibri"/>
          <w:b/>
          <w:sz w:val="24"/>
          <w:szCs w:val="24"/>
        </w:rPr>
        <w:t xml:space="preserve">Computer Skills and Programming </w:t>
      </w:r>
    </w:p>
    <w:p w:rsidR="00B147CA" w:rsidRDefault="006F0B68" w14:paraId="0000003C" w14:textId="77777777">
      <w:pPr>
        <w:keepLines/>
        <w:widowControl w:val="0"/>
        <w:spacing w:line="240" w:lineRule="auto"/>
        <w:ind w:left="-446" w:right="-422"/>
        <w:rPr>
          <w:rFonts w:ascii="Calibri" w:hAnsi="Calibri" w:eastAsia="Calibri" w:cs="Calibri"/>
          <w:sz w:val="24"/>
          <w:szCs w:val="24"/>
        </w:rPr>
      </w:pPr>
      <w:r>
        <w:rPr>
          <w:rFonts w:ascii="Calibri" w:hAnsi="Calibri" w:eastAsia="Calibri" w:cs="Calibri"/>
          <w:sz w:val="24"/>
          <w:szCs w:val="24"/>
        </w:rPr>
        <w:t xml:space="preserve">Flow Cytometry (FlowJo, FACSDiVa, Summit, FlowLogic), Object Oriented Programming (JAVA, C++), Web Design (HTML, PHP, SQL), Presentation (Microsoft PowerPoint, Open Office Suite), Statistical Analysis (SPSS, SAS, PRISM, Minitab, R), Document Creation (Adobe Creative Suite, Microsoft Publisher, Open Office Suite) </w:t>
      </w:r>
    </w:p>
    <w:p w:rsidR="00B147CA" w:rsidRDefault="00B147CA" w14:paraId="0000003D" w14:textId="77777777">
      <w:pPr>
        <w:keepLines/>
        <w:widowControl w:val="0"/>
        <w:spacing w:line="240" w:lineRule="auto"/>
        <w:ind w:left="-446" w:right="-422"/>
        <w:rPr>
          <w:rFonts w:ascii="Calibri" w:hAnsi="Calibri" w:eastAsia="Calibri" w:cs="Calibri"/>
          <w:sz w:val="24"/>
          <w:szCs w:val="24"/>
        </w:rPr>
      </w:pPr>
    </w:p>
    <w:p w:rsidR="00B147CA" w:rsidRDefault="00B147CA" w14:paraId="0000003E" w14:textId="77777777">
      <w:pPr>
        <w:widowControl w:val="0"/>
        <w:pBdr>
          <w:top w:val="nil"/>
          <w:left w:val="nil"/>
          <w:bottom w:val="nil"/>
          <w:right w:val="nil"/>
          <w:between w:val="nil"/>
        </w:pBdr>
        <w:ind w:left="-446" w:right="-384"/>
        <w:rPr>
          <w:rFonts w:ascii="Calibri" w:hAnsi="Calibri" w:eastAsia="Calibri" w:cs="Calibri"/>
          <w:b/>
          <w:sz w:val="24"/>
          <w:szCs w:val="24"/>
        </w:rPr>
      </w:pPr>
    </w:p>
    <w:p w:rsidR="00B147CA" w:rsidP="7BD8C0CB" w:rsidRDefault="006F0B68" w14:paraId="00000040" w14:textId="6A7C0E36">
      <w:pPr>
        <w:pStyle w:val="Normal"/>
        <w:widowControl w:val="0"/>
        <w:pBdr>
          <w:top w:val="nil" w:color="000000" w:sz="0" w:space="0"/>
          <w:left w:val="nil" w:color="000000" w:sz="0" w:space="0"/>
          <w:bottom w:val="nil" w:color="000000" w:sz="0" w:space="0"/>
          <w:right w:val="nil" w:color="000000" w:sz="0" w:space="0"/>
          <w:between w:val="nil" w:color="000000" w:sz="0" w:space="0"/>
        </w:pBdr>
        <w:ind w:left="-446" w:right="-384"/>
        <w:rPr>
          <w:rFonts w:ascii="Calibri" w:hAnsi="Calibri" w:eastAsia="Calibri" w:cs="Calibri"/>
          <w:b w:val="1"/>
          <w:bCs w:val="1"/>
          <w:color w:val="000000"/>
          <w:sz w:val="24"/>
          <w:szCs w:val="24"/>
        </w:rPr>
      </w:pPr>
      <w:r w:rsidRPr="7BD8C0CB" w:rsidR="006F0B68">
        <w:rPr>
          <w:rFonts w:ascii="Calibri" w:hAnsi="Calibri" w:eastAsia="Calibri" w:cs="Calibri"/>
          <w:b w:val="1"/>
          <w:bCs w:val="1"/>
          <w:color w:val="000000" w:themeColor="text1" w:themeTint="FF" w:themeShade="FF"/>
          <w:sz w:val="24"/>
          <w:szCs w:val="24"/>
        </w:rPr>
        <w:t xml:space="preserve">Peer-reviewed Publications </w:t>
      </w:r>
    </w:p>
    <w:p w:rsidR="00B147CA" w:rsidRDefault="006F0B68" w14:paraId="00000041" w14:textId="77777777">
      <w:pPr>
        <w:widowControl w:val="0"/>
        <w:pBdr>
          <w:top w:val="nil"/>
          <w:left w:val="nil"/>
          <w:bottom w:val="nil"/>
          <w:right w:val="nil"/>
          <w:between w:val="nil"/>
        </w:pBdr>
        <w:ind w:left="-446" w:right="-384"/>
        <w:rPr>
          <w:rFonts w:ascii="Calibri" w:hAnsi="Calibri" w:eastAsia="Calibri" w:cs="Calibri"/>
          <w:sz w:val="16"/>
          <w:szCs w:val="16"/>
        </w:rPr>
      </w:pPr>
      <w:r>
        <w:rPr>
          <w:rFonts w:ascii="Calibri" w:hAnsi="Calibri" w:eastAsia="Calibri" w:cs="Calibri"/>
          <w:color w:val="212121"/>
          <w:sz w:val="20"/>
          <w:szCs w:val="20"/>
          <w:highlight w:val="white"/>
        </w:rPr>
        <w:t>Casillo SM, Gatesman TA, Chilukuri A, Varadharajan S, Johnson BJ, David Premkumar DR, Jane EP, Plute TJ, Koncar RF, Stanton AJ, Biagi-Junior CAO, Barber CS, Halbert ME, Golbourn BJ, Halligan K, Cruz AF, Mansi NM, Cheney A, Mullett SJ, Land CV, Perez JL, Myers MI, Agrawal N, Michel JJ, Chang YF, Vaske OM, MichaelRaj A, Lieberman FS, Felker J, Shiva S, Bertrand KC, Amankulor N, Hadjipanayis CG, Abdullah KG, Zinn PO, Friedlander RM, Abel TJ, Nazarian J, Venneti S, Filbin MG, Gelhaus SL, Mack SC, Pollack IF, Ag</w:t>
      </w:r>
      <w:r>
        <w:rPr>
          <w:rFonts w:ascii="Calibri" w:hAnsi="Calibri" w:eastAsia="Calibri" w:cs="Calibri"/>
          <w:color w:val="212121"/>
          <w:sz w:val="20"/>
          <w:szCs w:val="20"/>
          <w:highlight w:val="white"/>
        </w:rPr>
        <w:t>nihotri S. An ERK5-PFKFB3 axis regulates glycolysis and represents a therapeutic vulnerability in pediatric diffuse midline glioma. Cell Rep. 2024 Jan 23;43(1):113557. doi: 10.1016/j.celrep.2023.113557. Epub 2023 Dec 18. PMID: 38113141.</w:t>
      </w:r>
    </w:p>
    <w:p w:rsidR="00B147CA" w:rsidRDefault="00B147CA" w14:paraId="00000042" w14:textId="77777777">
      <w:pPr>
        <w:widowControl w:val="0"/>
        <w:pBdr>
          <w:top w:val="nil"/>
          <w:left w:val="nil"/>
          <w:bottom w:val="nil"/>
          <w:right w:val="nil"/>
          <w:between w:val="nil"/>
        </w:pBdr>
        <w:ind w:left="-446" w:right="-384"/>
        <w:rPr>
          <w:rFonts w:ascii="Calibri" w:hAnsi="Calibri" w:eastAsia="Calibri" w:cs="Calibri"/>
          <w:color w:val="222222"/>
          <w:sz w:val="20"/>
          <w:szCs w:val="20"/>
          <w:highlight w:val="white"/>
        </w:rPr>
      </w:pPr>
    </w:p>
    <w:p w:rsidR="00B147CA" w:rsidRDefault="006F0B68" w14:paraId="00000043" w14:textId="77777777">
      <w:pPr>
        <w:widowControl w:val="0"/>
        <w:pBdr>
          <w:top w:val="nil"/>
          <w:left w:val="nil"/>
          <w:bottom w:val="nil"/>
          <w:right w:val="nil"/>
          <w:between w:val="nil"/>
        </w:pBdr>
        <w:ind w:left="-446" w:right="-384"/>
        <w:rPr>
          <w:rFonts w:ascii="Calibri" w:hAnsi="Calibri" w:eastAsia="Calibri" w:cs="Calibri"/>
          <w:color w:val="222222"/>
          <w:sz w:val="16"/>
          <w:szCs w:val="16"/>
          <w:highlight w:val="white"/>
        </w:rPr>
      </w:pPr>
      <w:r>
        <w:rPr>
          <w:rFonts w:ascii="Calibri" w:hAnsi="Calibri" w:eastAsia="Calibri" w:cs="Calibri"/>
          <w:color w:val="212121"/>
          <w:sz w:val="20"/>
          <w:szCs w:val="20"/>
          <w:highlight w:val="white"/>
        </w:rPr>
        <w:t>Shang P, Simpson JD, Taylor GM, Sutherland DM, Welsh OL, Aravamudhan P, Natividade RDS, Schwab K, Michel JJ, Poholek AC, Wu Y, Rajasundaram D, Koehler M, Alsteens D, Dermody TS. Paired immunoglobulin-like receptor B is an entry receptor for mammalian orthoreovirus. Nat Commun. 2023 May 5;14(1):2615. doi: 10.1038/s41467-023-38327-6. PMID: 37147336; PMCID: PMC10163058.</w:t>
      </w:r>
    </w:p>
    <w:p w:rsidR="00B147CA" w:rsidRDefault="00B147CA" w14:paraId="00000044" w14:textId="77777777">
      <w:pPr>
        <w:widowControl w:val="0"/>
        <w:pBdr>
          <w:top w:val="nil"/>
          <w:left w:val="nil"/>
          <w:bottom w:val="nil"/>
          <w:right w:val="nil"/>
          <w:between w:val="nil"/>
        </w:pBdr>
        <w:ind w:left="-446" w:right="-384"/>
        <w:rPr>
          <w:rFonts w:ascii="Calibri" w:hAnsi="Calibri" w:eastAsia="Calibri" w:cs="Calibri"/>
          <w:color w:val="222222"/>
          <w:sz w:val="20"/>
          <w:szCs w:val="20"/>
          <w:highlight w:val="white"/>
        </w:rPr>
      </w:pPr>
    </w:p>
    <w:p w:rsidR="00B147CA" w:rsidRDefault="006F0B68" w14:paraId="00000045" w14:textId="77777777">
      <w:pPr>
        <w:widowControl w:val="0"/>
        <w:pBdr>
          <w:top w:val="nil"/>
          <w:left w:val="nil"/>
          <w:bottom w:val="nil"/>
          <w:right w:val="nil"/>
          <w:between w:val="nil"/>
        </w:pBdr>
        <w:ind w:left="-446" w:right="-384"/>
        <w:rPr>
          <w:rFonts w:ascii="Calibri" w:hAnsi="Calibri" w:eastAsia="Calibri" w:cs="Calibri"/>
          <w:color w:val="212121"/>
          <w:sz w:val="20"/>
          <w:szCs w:val="20"/>
          <w:highlight w:val="white"/>
        </w:rPr>
      </w:pPr>
      <w:r>
        <w:rPr>
          <w:rFonts w:ascii="Calibri" w:hAnsi="Calibri" w:eastAsia="Calibri" w:cs="Calibri"/>
          <w:color w:val="212121"/>
          <w:sz w:val="20"/>
          <w:szCs w:val="20"/>
          <w:highlight w:val="white"/>
        </w:rPr>
        <w:t>Vallejo AN, Mroczkowski HJ, Michel JJ, Woolford M, Blair HC, Griffin P, McCracken E, Mihalik SJ, Reyes-Mugica M, Vockley J. Pervasive inflammatory activation in patients with deficiency in very-long-chain acyl-coA dehydrogenase (VLCADD). Clin Transl Immunology. 2021 Jun 27;10(6):e1304. doi: 10.1002/cti2.1304. PMID: 34194748; PMCID: PMC8236555.</w:t>
      </w:r>
    </w:p>
    <w:p w:rsidR="00B147CA" w:rsidRDefault="00B147CA" w14:paraId="00000046" w14:textId="77777777">
      <w:pPr>
        <w:widowControl w:val="0"/>
        <w:pBdr>
          <w:top w:val="nil"/>
          <w:left w:val="nil"/>
          <w:bottom w:val="nil"/>
          <w:right w:val="nil"/>
          <w:between w:val="nil"/>
        </w:pBdr>
        <w:ind w:left="-446" w:right="-384"/>
        <w:rPr>
          <w:rFonts w:ascii="Roboto" w:hAnsi="Roboto" w:eastAsia="Roboto" w:cs="Roboto"/>
          <w:color w:val="212121"/>
          <w:sz w:val="24"/>
          <w:szCs w:val="24"/>
          <w:highlight w:val="white"/>
        </w:rPr>
      </w:pPr>
    </w:p>
    <w:p w:rsidR="00B147CA" w:rsidRDefault="006F0B68" w14:paraId="00000047" w14:textId="77777777">
      <w:pPr>
        <w:widowControl w:val="0"/>
        <w:pBdr>
          <w:top w:val="nil"/>
          <w:left w:val="nil"/>
          <w:bottom w:val="nil"/>
          <w:right w:val="nil"/>
          <w:between w:val="nil"/>
        </w:pBdr>
        <w:ind w:left="-446" w:right="-384"/>
        <w:rPr>
          <w:rFonts w:ascii="Calibri" w:hAnsi="Calibri" w:eastAsia="Calibri" w:cs="Calibri"/>
          <w:sz w:val="20"/>
          <w:szCs w:val="20"/>
        </w:rPr>
      </w:pPr>
      <w:r>
        <w:rPr>
          <w:rFonts w:ascii="Calibri" w:hAnsi="Calibri" w:eastAsia="Calibri" w:cs="Calibri"/>
          <w:color w:val="222222"/>
          <w:sz w:val="20"/>
          <w:szCs w:val="20"/>
          <w:highlight w:val="white"/>
        </w:rPr>
        <w:t xml:space="preserve">Chen, Apeng, et al. "Chitinase-3-like 1 protein complexes modulate macrophage-mediated immune suppression in glioblastoma." </w:t>
      </w:r>
      <w:r>
        <w:rPr>
          <w:rFonts w:ascii="Calibri" w:hAnsi="Calibri" w:eastAsia="Calibri" w:cs="Calibri"/>
          <w:i/>
          <w:color w:val="222222"/>
          <w:sz w:val="20"/>
          <w:szCs w:val="20"/>
          <w:highlight w:val="white"/>
        </w:rPr>
        <w:t>The Journal of clinical investigation</w:t>
      </w:r>
      <w:r>
        <w:rPr>
          <w:rFonts w:ascii="Calibri" w:hAnsi="Calibri" w:eastAsia="Calibri" w:cs="Calibri"/>
          <w:color w:val="222222"/>
          <w:sz w:val="20"/>
          <w:szCs w:val="20"/>
          <w:highlight w:val="white"/>
        </w:rPr>
        <w:t xml:space="preserve"> 131.16 (2021): e147552.</w:t>
      </w:r>
    </w:p>
    <w:p w:rsidR="00B147CA" w:rsidRDefault="00B147CA" w14:paraId="00000048" w14:textId="77777777">
      <w:pPr>
        <w:pBdr>
          <w:top w:val="nil"/>
          <w:left w:val="nil"/>
          <w:bottom w:val="nil"/>
          <w:right w:val="nil"/>
          <w:between w:val="nil"/>
        </w:pBdr>
        <w:ind w:left="-446" w:right="-384"/>
        <w:rPr>
          <w:rFonts w:ascii="Calibri" w:hAnsi="Calibri" w:eastAsia="Calibri" w:cs="Calibri"/>
          <w:sz w:val="20"/>
          <w:szCs w:val="20"/>
        </w:rPr>
      </w:pPr>
    </w:p>
    <w:p w:rsidR="00B147CA" w:rsidRDefault="006F0B68" w14:paraId="00000049" w14:textId="77777777">
      <w:pPr>
        <w:widowControl w:val="0"/>
        <w:pBdr>
          <w:top w:val="nil"/>
          <w:left w:val="nil"/>
          <w:bottom w:val="nil"/>
          <w:right w:val="nil"/>
          <w:between w:val="nil"/>
        </w:pBdr>
        <w:ind w:left="-446" w:right="-384"/>
        <w:rPr>
          <w:rFonts w:ascii="Calibri" w:hAnsi="Calibri" w:eastAsia="Calibri" w:cs="Calibri"/>
          <w:sz w:val="20"/>
          <w:szCs w:val="20"/>
        </w:rPr>
      </w:pPr>
      <w:r>
        <w:rPr>
          <w:rFonts w:ascii="Calibri" w:hAnsi="Calibri" w:eastAsia="Calibri" w:cs="Calibri"/>
          <w:sz w:val="20"/>
          <w:szCs w:val="20"/>
        </w:rPr>
        <w:t>Griffin P, Michel JJ, DeVallejo AN. “</w:t>
      </w:r>
      <w:r>
        <w:rPr>
          <w:rFonts w:ascii="Calibri" w:hAnsi="Calibri" w:eastAsia="Calibri" w:cs="Calibri"/>
          <w:color w:val="111111"/>
          <w:sz w:val="20"/>
          <w:szCs w:val="20"/>
          <w:highlight w:val="white"/>
        </w:rPr>
        <w:t xml:space="preserve">Diversity of CD28 null T Cells in the Elderly: A Glimpse in a Biological Adaptation of Aging.” </w:t>
      </w:r>
      <w:r>
        <w:rPr>
          <w:rFonts w:ascii="Calibri" w:hAnsi="Calibri" w:eastAsia="Calibri" w:cs="Calibri"/>
          <w:sz w:val="20"/>
          <w:szCs w:val="20"/>
          <w:highlight w:val="white"/>
        </w:rPr>
        <w:t>Handbook of Immunosenescence. November 2018. DOI:</w:t>
      </w:r>
      <w:hyperlink r:id="rId4">
        <w:r>
          <w:rPr>
            <w:rFonts w:ascii="Calibri" w:hAnsi="Calibri" w:eastAsia="Calibri" w:cs="Calibri"/>
            <w:color w:val="1155CC"/>
            <w:sz w:val="20"/>
            <w:szCs w:val="20"/>
            <w:highlight w:val="white"/>
            <w:u w:val="single"/>
          </w:rPr>
          <w:t>10.1007/978-3-319-64597-1_87-1</w:t>
        </w:r>
      </w:hyperlink>
    </w:p>
    <w:p w:rsidR="00B147CA" w:rsidRDefault="006F0B68" w14:paraId="0000004A" w14:textId="77777777">
      <w:pPr>
        <w:widowControl w:val="0"/>
        <w:spacing w:before="278"/>
        <w:ind w:left="-446" w:right="144"/>
        <w:rPr>
          <w:rFonts w:ascii="Calibri" w:hAnsi="Calibri" w:eastAsia="Calibri" w:cs="Calibri"/>
          <w:sz w:val="20"/>
          <w:szCs w:val="20"/>
        </w:rPr>
      </w:pPr>
      <w:r>
        <w:rPr>
          <w:rFonts w:ascii="Calibri" w:hAnsi="Calibri" w:eastAsia="Calibri" w:cs="Calibri"/>
          <w:sz w:val="20"/>
          <w:szCs w:val="20"/>
        </w:rPr>
        <w:t xml:space="preserve">Ferguson ID, Griffin P, Michel JJ, Yano H, Gaffen SL, Mueller RG, Dvergsten JA, Piganelli JD,Rosenkranz ME, Kietz DA and Vallejo AN. (2018.) “T Cell Receptor-Independent, CD31/IL-17A-DrivenInflammatory Axis Shapes Synovitis in Juvenile Idiopathic Arthritis.” </w:t>
      </w:r>
      <w:r>
        <w:rPr>
          <w:rFonts w:ascii="Calibri" w:hAnsi="Calibri" w:eastAsia="Calibri" w:cs="Calibri"/>
          <w:i/>
          <w:sz w:val="20"/>
          <w:szCs w:val="20"/>
        </w:rPr>
        <w:t>Front. Immunol.</w:t>
      </w:r>
      <w:r>
        <w:rPr>
          <w:rFonts w:ascii="Calibri" w:hAnsi="Calibri" w:eastAsia="Calibri" w:cs="Calibri"/>
          <w:sz w:val="20"/>
          <w:szCs w:val="20"/>
        </w:rPr>
        <w:t xml:space="preserve"> 9:1802. doi: </w:t>
      </w:r>
      <w:hyperlink r:id="rId5">
        <w:r>
          <w:rPr>
            <w:rFonts w:ascii="Calibri" w:hAnsi="Calibri" w:eastAsia="Calibri" w:cs="Calibri"/>
            <w:color w:val="1155CC"/>
            <w:sz w:val="20"/>
            <w:szCs w:val="20"/>
            <w:u w:val="single"/>
          </w:rPr>
          <w:t>10.3389/fimmu.2018.01802</w:t>
        </w:r>
      </w:hyperlink>
      <w:r>
        <w:rPr>
          <w:rFonts w:ascii="Calibri" w:hAnsi="Calibri" w:eastAsia="Calibri" w:cs="Calibri"/>
          <w:sz w:val="20"/>
          <w:szCs w:val="20"/>
        </w:rPr>
        <w:t>.</w:t>
      </w:r>
    </w:p>
    <w:p w:rsidR="00B147CA" w:rsidRDefault="006F0B68" w14:paraId="0000004B" w14:textId="77777777">
      <w:pPr>
        <w:widowControl w:val="0"/>
        <w:spacing w:before="278"/>
        <w:ind w:left="-446" w:right="144"/>
        <w:rPr>
          <w:rFonts w:ascii="Calibri" w:hAnsi="Calibri" w:eastAsia="Calibri" w:cs="Calibri"/>
          <w:sz w:val="20"/>
          <w:szCs w:val="20"/>
          <w:highlight w:val="white"/>
        </w:rPr>
      </w:pPr>
      <w:r>
        <w:rPr>
          <w:rFonts w:ascii="Calibri" w:hAnsi="Calibri" w:eastAsia="Calibri" w:cs="Calibri"/>
          <w:sz w:val="20"/>
          <w:szCs w:val="20"/>
          <w:highlight w:val="white"/>
        </w:rPr>
        <w:t xml:space="preserve">Michel JJ, Griffin P and Vallejo Abbe N (2016). “Functionally Diverse NK-Like T Cells Are Effectors and Predictors of Successful Aging.” </w:t>
      </w:r>
      <w:r>
        <w:rPr>
          <w:rFonts w:ascii="Calibri" w:hAnsi="Calibri" w:eastAsia="Calibri" w:cs="Calibri"/>
          <w:i/>
          <w:sz w:val="20"/>
          <w:szCs w:val="20"/>
          <w:highlight w:val="white"/>
        </w:rPr>
        <w:t>Front. Immunol.</w:t>
      </w:r>
      <w:r>
        <w:rPr>
          <w:rFonts w:ascii="Calibri" w:hAnsi="Calibri" w:eastAsia="Calibri" w:cs="Calibri"/>
          <w:sz w:val="20"/>
          <w:szCs w:val="20"/>
          <w:highlight w:val="white"/>
        </w:rPr>
        <w:t xml:space="preserve"> 7:530. doi:</w:t>
      </w:r>
      <w:r>
        <w:rPr>
          <w:rFonts w:ascii="Calibri" w:hAnsi="Calibri" w:eastAsia="Calibri" w:cs="Calibri"/>
          <w:color w:val="3E3D40"/>
          <w:sz w:val="20"/>
          <w:szCs w:val="20"/>
          <w:highlight w:val="white"/>
        </w:rPr>
        <w:t xml:space="preserve"> </w:t>
      </w:r>
      <w:hyperlink r:id="rId6">
        <w:r>
          <w:rPr>
            <w:rFonts w:ascii="Calibri" w:hAnsi="Calibri" w:eastAsia="Calibri" w:cs="Calibri"/>
            <w:color w:val="1155CC"/>
            <w:sz w:val="20"/>
            <w:szCs w:val="20"/>
            <w:highlight w:val="white"/>
            <w:u w:val="single"/>
          </w:rPr>
          <w:t>10.3389/fimmu.2016.00530</w:t>
        </w:r>
      </w:hyperlink>
      <w:r>
        <w:rPr>
          <w:rFonts w:ascii="Calibri" w:hAnsi="Calibri" w:eastAsia="Calibri" w:cs="Calibri"/>
          <w:sz w:val="20"/>
          <w:szCs w:val="20"/>
          <w:highlight w:val="white"/>
        </w:rPr>
        <w:t>.</w:t>
      </w:r>
    </w:p>
    <w:p w:rsidR="00B147CA" w:rsidRDefault="00B147CA" w14:paraId="0000004C" w14:textId="77777777">
      <w:pPr>
        <w:pBdr>
          <w:top w:val="nil"/>
          <w:left w:val="nil"/>
          <w:bottom w:val="nil"/>
          <w:right w:val="nil"/>
          <w:between w:val="nil"/>
        </w:pBdr>
        <w:ind w:left="-446" w:right="-384"/>
        <w:rPr>
          <w:rFonts w:ascii="Calibri" w:hAnsi="Calibri" w:eastAsia="Calibri" w:cs="Calibri"/>
          <w:sz w:val="20"/>
          <w:szCs w:val="20"/>
        </w:rPr>
      </w:pPr>
    </w:p>
    <w:p w:rsidR="00B147CA" w:rsidRDefault="006F0B68" w14:paraId="0000004D" w14:textId="77777777">
      <w:pPr>
        <w:pBdr>
          <w:top w:val="nil"/>
          <w:left w:val="nil"/>
          <w:bottom w:val="nil"/>
          <w:right w:val="nil"/>
          <w:between w:val="nil"/>
        </w:pBdr>
        <w:ind w:left="-446" w:right="-384"/>
        <w:rPr>
          <w:rFonts w:ascii="Calibri" w:hAnsi="Calibri" w:eastAsia="Calibri" w:cs="Calibri"/>
          <w:sz w:val="20"/>
          <w:szCs w:val="20"/>
        </w:rPr>
      </w:pPr>
      <w:r>
        <w:rPr>
          <w:rFonts w:ascii="Calibri" w:hAnsi="Calibri" w:eastAsia="Calibri" w:cs="Calibri"/>
          <w:color w:val="000000"/>
          <w:sz w:val="20"/>
          <w:szCs w:val="20"/>
        </w:rPr>
        <w:t xml:space="preserve">Meghan E Fitzpatrick, Vikas Singh, Marnie Bertolet, Lorrie Lucht, Cathy Kessinger, Joshua Michel, Alison Logar, Renee Weinman, Deborah McMahon, Karen A Norris, Abbe N Vallejo, Alison Morris. “Relationships of pulmonary function, inflammation, and T-cell activation and senescence in an HIV-infected cohort.” </w:t>
      </w:r>
      <w:r>
        <w:rPr>
          <w:rFonts w:ascii="Calibri" w:hAnsi="Calibri" w:eastAsia="Calibri" w:cs="Calibri"/>
          <w:color w:val="660066"/>
          <w:sz w:val="20"/>
          <w:szCs w:val="20"/>
        </w:rPr>
        <w:t xml:space="preserve">AIDS. </w:t>
      </w:r>
      <w:r>
        <w:rPr>
          <w:rFonts w:ascii="Calibri" w:hAnsi="Calibri" w:eastAsia="Calibri" w:cs="Calibri"/>
          <w:color w:val="000000"/>
          <w:sz w:val="20"/>
          <w:szCs w:val="20"/>
        </w:rPr>
        <w:t>2014 Nov 13;28(17):2505-15. doi: 10.1097/QAD.0000000000000471. </w:t>
      </w:r>
    </w:p>
    <w:p w:rsidR="00B147CA" w:rsidRDefault="00B147CA" w14:paraId="0000004E" w14:textId="77777777">
      <w:pPr>
        <w:widowControl w:val="0"/>
        <w:pBdr>
          <w:top w:val="nil"/>
          <w:left w:val="nil"/>
          <w:bottom w:val="nil"/>
          <w:right w:val="nil"/>
          <w:between w:val="nil"/>
        </w:pBdr>
        <w:ind w:left="-446" w:right="-384"/>
        <w:rPr>
          <w:rFonts w:ascii="Calibri" w:hAnsi="Calibri" w:eastAsia="Calibri" w:cs="Calibri"/>
          <w:sz w:val="20"/>
          <w:szCs w:val="20"/>
          <w:highlight w:val="white"/>
        </w:rPr>
      </w:pPr>
    </w:p>
    <w:p w:rsidR="00B147CA" w:rsidRDefault="006F0B68" w14:paraId="0000004F" w14:textId="77777777">
      <w:pPr>
        <w:widowControl w:val="0"/>
        <w:pBdr>
          <w:top w:val="nil"/>
          <w:left w:val="nil"/>
          <w:bottom w:val="nil"/>
          <w:right w:val="nil"/>
          <w:between w:val="nil"/>
        </w:pBdr>
        <w:ind w:left="-446" w:right="-384"/>
        <w:rPr>
          <w:rFonts w:ascii="Calibri" w:hAnsi="Calibri" w:eastAsia="Calibri" w:cs="Calibri"/>
          <w:sz w:val="20"/>
          <w:szCs w:val="20"/>
          <w:highlight w:val="white"/>
        </w:rPr>
      </w:pPr>
      <w:r>
        <w:rPr>
          <w:rFonts w:ascii="Calibri" w:hAnsi="Calibri" w:eastAsia="Calibri" w:cs="Calibri"/>
          <w:color w:val="000000"/>
          <w:sz w:val="20"/>
          <w:szCs w:val="20"/>
        </w:rPr>
        <w:t xml:space="preserve">Dvergsten JA, Mueller RG, Griffin P, Abedin S, Pishko A, Michel JJ, Rosenkranz ME, Reed AM, Kietz DA and Vallejo AN. “Premature cell senescence and T cell receptor-independent activation of CD8+ T cells in juvenile idiopathic arthritis.” </w:t>
      </w:r>
      <w:r>
        <w:rPr>
          <w:rFonts w:ascii="Calibri" w:hAnsi="Calibri" w:eastAsia="Calibri" w:cs="Calibri"/>
          <w:color w:val="660066"/>
          <w:sz w:val="20"/>
          <w:szCs w:val="20"/>
        </w:rPr>
        <w:t xml:space="preserve">Arthritis Rheum. </w:t>
      </w:r>
      <w:r>
        <w:rPr>
          <w:rFonts w:ascii="Calibri" w:hAnsi="Calibri" w:eastAsia="Calibri" w:cs="Calibri"/>
          <w:color w:val="000000"/>
          <w:sz w:val="20"/>
          <w:szCs w:val="20"/>
        </w:rPr>
        <w:t>2013 Aug;65(8):2201-10. doi: 10.1002/art.38015. </w:t>
      </w:r>
    </w:p>
    <w:p w:rsidR="00B147CA" w:rsidRDefault="006F0B68" w14:paraId="00000050" w14:textId="77777777">
      <w:pPr>
        <w:widowControl w:val="0"/>
        <w:pBdr>
          <w:top w:val="nil"/>
          <w:left w:val="nil"/>
          <w:bottom w:val="nil"/>
          <w:right w:val="nil"/>
          <w:between w:val="nil"/>
        </w:pBdr>
        <w:spacing w:before="278"/>
        <w:ind w:left="-446" w:right="144"/>
        <w:rPr>
          <w:rFonts w:ascii="Calibri" w:hAnsi="Calibri" w:eastAsia="Calibri" w:cs="Calibri"/>
          <w:color w:val="000000"/>
          <w:sz w:val="20"/>
          <w:szCs w:val="20"/>
        </w:rPr>
      </w:pPr>
      <w:r>
        <w:rPr>
          <w:rFonts w:ascii="Calibri" w:hAnsi="Calibri" w:eastAsia="Calibri" w:cs="Calibri"/>
          <w:color w:val="000000"/>
          <w:sz w:val="20"/>
          <w:szCs w:val="20"/>
        </w:rPr>
        <w:t xml:space="preserve">Griffin P, Michel JJ, Huysman K, Logar AJ, Vallejo AN. Integration of immunity with physical and cognitive function in definitions of successful aging. </w:t>
      </w:r>
      <w:r>
        <w:rPr>
          <w:rFonts w:ascii="Calibri" w:hAnsi="Calibri" w:eastAsia="Calibri" w:cs="Calibri"/>
          <w:color w:val="660066"/>
          <w:sz w:val="20"/>
          <w:szCs w:val="20"/>
        </w:rPr>
        <w:t xml:space="preserve">Aging Dis. </w:t>
      </w:r>
      <w:r>
        <w:rPr>
          <w:rFonts w:ascii="Calibri" w:hAnsi="Calibri" w:eastAsia="Calibri" w:cs="Calibri"/>
          <w:color w:val="000000"/>
          <w:sz w:val="20"/>
          <w:szCs w:val="20"/>
        </w:rPr>
        <w:t xml:space="preserve">2012 Feb;3(1):34-50. Epub 2012 Feb 27. </w:t>
      </w:r>
    </w:p>
    <w:p w:rsidR="00B147CA" w:rsidRDefault="006F0B68" w14:paraId="00000051" w14:textId="77777777">
      <w:pPr>
        <w:widowControl w:val="0"/>
        <w:pBdr>
          <w:top w:val="nil"/>
          <w:left w:val="nil"/>
          <w:bottom w:val="nil"/>
          <w:right w:val="nil"/>
          <w:between w:val="nil"/>
        </w:pBdr>
        <w:spacing w:before="283"/>
        <w:ind w:left="-446" w:right="-312"/>
        <w:rPr>
          <w:rFonts w:ascii="Calibri" w:hAnsi="Calibri" w:eastAsia="Calibri" w:cs="Calibri"/>
          <w:color w:val="000000"/>
          <w:sz w:val="20"/>
          <w:szCs w:val="20"/>
        </w:rPr>
      </w:pPr>
      <w:r>
        <w:rPr>
          <w:rFonts w:ascii="Calibri" w:hAnsi="Calibri" w:eastAsia="Calibri" w:cs="Calibri"/>
          <w:color w:val="000000"/>
          <w:sz w:val="20"/>
          <w:szCs w:val="20"/>
        </w:rPr>
        <w:t xml:space="preserve">Vallejo AN, Hamel DL Jr, Mueller RG, Ives DG, Michel JJ, Boudreau RM, Newman AB. NK-like T cells and plasma cytokines, but not anti-viral serology, define immune fingerprints of resilience and mild disability in exceptional aging. </w:t>
      </w:r>
      <w:r>
        <w:rPr>
          <w:rFonts w:ascii="Calibri" w:hAnsi="Calibri" w:eastAsia="Calibri" w:cs="Calibri"/>
          <w:color w:val="660066"/>
          <w:sz w:val="20"/>
          <w:szCs w:val="20"/>
        </w:rPr>
        <w:t xml:space="preserve">PLoS One. </w:t>
      </w:r>
      <w:r>
        <w:rPr>
          <w:rFonts w:ascii="Calibri" w:hAnsi="Calibri" w:eastAsia="Calibri" w:cs="Calibri"/>
          <w:color w:val="000000"/>
          <w:sz w:val="20"/>
          <w:szCs w:val="20"/>
        </w:rPr>
        <w:t xml:space="preserve">2011;6(10):e26558. doi: 10.1371/journal.pone.0026558. Epub 2011 Oct 20. </w:t>
      </w:r>
    </w:p>
    <w:p w:rsidR="00B147CA" w:rsidRDefault="006F0B68" w14:paraId="00000052" w14:textId="77777777">
      <w:pPr>
        <w:widowControl w:val="0"/>
        <w:pBdr>
          <w:top w:val="nil"/>
          <w:left w:val="nil"/>
          <w:bottom w:val="nil"/>
          <w:right w:val="nil"/>
          <w:between w:val="nil"/>
        </w:pBdr>
        <w:spacing w:before="283"/>
        <w:ind w:left="-446" w:right="-398"/>
        <w:rPr>
          <w:rFonts w:ascii="Calibri" w:hAnsi="Calibri" w:eastAsia="Calibri" w:cs="Calibri"/>
          <w:color w:val="000000"/>
          <w:sz w:val="20"/>
          <w:szCs w:val="20"/>
        </w:rPr>
      </w:pPr>
      <w:r>
        <w:rPr>
          <w:rFonts w:ascii="Calibri" w:hAnsi="Calibri" w:eastAsia="Calibri" w:cs="Calibri"/>
          <w:color w:val="000000"/>
          <w:sz w:val="20"/>
          <w:szCs w:val="20"/>
        </w:rPr>
        <w:t xml:space="preserve">He M, Kratz LE, Michel JJ, Vallejo AN, Ferris L, Kelley RI, Hoover JJ, Jukic D, Gibson KM, Wolfe LA, Ramachandran D,Zwick ME, Vockley J. “Mutations in the human SC4MOL gene encoding a methyl sterol oxidase cause </w:t>
      </w:r>
      <w:r>
        <w:rPr>
          <w:rFonts w:ascii="Calibri" w:hAnsi="Calibri" w:eastAsia="Calibri" w:cs="Calibri"/>
          <w:sz w:val="20"/>
          <w:szCs w:val="20"/>
        </w:rPr>
        <w:t>psoriasiform</w:t>
      </w:r>
      <w:r>
        <w:rPr>
          <w:rFonts w:ascii="Calibri" w:hAnsi="Calibri" w:eastAsia="Calibri" w:cs="Calibri"/>
          <w:color w:val="000000"/>
          <w:sz w:val="20"/>
          <w:szCs w:val="20"/>
        </w:rPr>
        <w:t xml:space="preserve"> dermatitis, microcephaly and developmental delay.” </w:t>
      </w:r>
      <w:r>
        <w:rPr>
          <w:rFonts w:ascii="Calibri" w:hAnsi="Calibri" w:eastAsia="Calibri" w:cs="Calibri"/>
          <w:color w:val="660066"/>
          <w:sz w:val="20"/>
          <w:szCs w:val="20"/>
        </w:rPr>
        <w:t xml:space="preserve">J Clin Invest. </w:t>
      </w:r>
      <w:r>
        <w:rPr>
          <w:rFonts w:ascii="Calibri" w:hAnsi="Calibri" w:eastAsia="Calibri" w:cs="Calibri"/>
          <w:color w:val="000000"/>
          <w:sz w:val="20"/>
          <w:szCs w:val="20"/>
        </w:rPr>
        <w:t xml:space="preserve">2011 Mar;121(3):976-84. doi: 10.1172/JCI42650. </w:t>
      </w:r>
    </w:p>
    <w:p w:rsidR="00B147CA" w:rsidRDefault="006F0B68" w14:paraId="00000053" w14:textId="77777777">
      <w:pPr>
        <w:widowControl w:val="0"/>
        <w:pBdr>
          <w:top w:val="nil"/>
          <w:left w:val="nil"/>
          <w:bottom w:val="nil"/>
          <w:right w:val="nil"/>
          <w:between w:val="nil"/>
        </w:pBdr>
        <w:spacing w:before="278"/>
        <w:ind w:left="-446" w:right="-412"/>
        <w:rPr>
          <w:rFonts w:ascii="Calibri" w:hAnsi="Calibri" w:eastAsia="Calibri" w:cs="Calibri"/>
          <w:color w:val="000000"/>
          <w:sz w:val="20"/>
          <w:szCs w:val="20"/>
        </w:rPr>
      </w:pPr>
      <w:r>
        <w:rPr>
          <w:rFonts w:ascii="Calibri" w:hAnsi="Calibri" w:eastAsia="Calibri" w:cs="Calibri"/>
          <w:color w:val="000000"/>
          <w:sz w:val="20"/>
          <w:szCs w:val="20"/>
        </w:rPr>
        <w:t xml:space="preserve">Vallejo AN, Michel JJ, Bale LK, Lemster BH, Borghesi L, Conover CA. “Resistance to age-dependent thymic atrophy in long-lived mice that have deficiency in pregnancy-associated plasma protein A.” </w:t>
      </w:r>
      <w:r>
        <w:rPr>
          <w:rFonts w:ascii="Calibri" w:hAnsi="Calibri" w:eastAsia="Calibri" w:cs="Calibri"/>
          <w:color w:val="660066"/>
          <w:sz w:val="20"/>
          <w:szCs w:val="20"/>
        </w:rPr>
        <w:t xml:space="preserve">Proc Natl Acad Sci U S A. </w:t>
      </w:r>
      <w:r>
        <w:rPr>
          <w:rFonts w:ascii="Calibri" w:hAnsi="Calibri" w:eastAsia="Calibri" w:cs="Calibri"/>
          <w:color w:val="000000"/>
          <w:sz w:val="20"/>
          <w:szCs w:val="20"/>
        </w:rPr>
        <w:t xml:space="preserve">2009 Jul 7;106(27):11252-7. doi: 10.1073/pnas.0807025106. Epub 2009 Jun 22. </w:t>
      </w:r>
    </w:p>
    <w:p w:rsidR="00B147CA" w:rsidRDefault="006F0B68" w14:paraId="00000054" w14:textId="77777777">
      <w:pPr>
        <w:widowControl w:val="0"/>
        <w:pBdr>
          <w:top w:val="nil"/>
          <w:left w:val="nil"/>
          <w:bottom w:val="nil"/>
          <w:right w:val="nil"/>
          <w:between w:val="nil"/>
        </w:pBdr>
        <w:spacing w:before="283"/>
        <w:ind w:left="-446" w:right="432"/>
        <w:rPr>
          <w:rFonts w:ascii="Calibri" w:hAnsi="Calibri" w:eastAsia="Calibri" w:cs="Calibri"/>
          <w:color w:val="000000"/>
          <w:sz w:val="20"/>
          <w:szCs w:val="20"/>
        </w:rPr>
      </w:pPr>
      <w:r>
        <w:rPr>
          <w:rFonts w:ascii="Calibri" w:hAnsi="Calibri" w:eastAsia="Calibri" w:cs="Calibri"/>
          <w:color w:val="000000"/>
          <w:sz w:val="20"/>
          <w:szCs w:val="20"/>
        </w:rPr>
        <w:t xml:space="preserve">Lemster BH*, Michel JJ*, Montag DT, Paat JJ, Studenski SA, Newman AB, Vallejo AN*. Induction of CD56 expression and TCR-independent activation of T cells with aging. </w:t>
      </w:r>
      <w:r>
        <w:rPr>
          <w:rFonts w:ascii="Calibri" w:hAnsi="Calibri" w:eastAsia="Calibri" w:cs="Calibri"/>
          <w:color w:val="660066"/>
          <w:sz w:val="20"/>
          <w:szCs w:val="20"/>
        </w:rPr>
        <w:t xml:space="preserve">J Immunol. </w:t>
      </w:r>
      <w:r>
        <w:rPr>
          <w:rFonts w:ascii="Calibri" w:hAnsi="Calibri" w:eastAsia="Calibri" w:cs="Calibri"/>
          <w:color w:val="000000"/>
          <w:sz w:val="20"/>
          <w:szCs w:val="20"/>
        </w:rPr>
        <w:t xml:space="preserve">2008 Feb 1;180(3):1979-90. </w:t>
      </w:r>
    </w:p>
    <w:p w:rsidR="00B147CA" w:rsidRDefault="006F0B68" w14:paraId="00000055" w14:textId="77777777">
      <w:pPr>
        <w:widowControl w:val="0"/>
        <w:pBdr>
          <w:top w:val="nil"/>
          <w:left w:val="nil"/>
          <w:bottom w:val="nil"/>
          <w:right w:val="nil"/>
          <w:between w:val="nil"/>
        </w:pBdr>
        <w:spacing w:before="278"/>
        <w:ind w:left="-446" w:right="-33"/>
        <w:rPr>
          <w:rFonts w:ascii="Calibri" w:hAnsi="Calibri" w:eastAsia="Calibri" w:cs="Calibri"/>
          <w:color w:val="000000"/>
          <w:sz w:val="20"/>
          <w:szCs w:val="20"/>
        </w:rPr>
      </w:pPr>
      <w:r>
        <w:rPr>
          <w:rFonts w:ascii="Calibri" w:hAnsi="Calibri" w:eastAsia="Calibri" w:cs="Calibri"/>
          <w:color w:val="000000"/>
          <w:sz w:val="20"/>
          <w:szCs w:val="20"/>
        </w:rPr>
        <w:t xml:space="preserve">Michel JJ*, Turesson C*, Lemster B, Atkins SR, Iclozan C, Bongartz T, Wasko MC, Matteson E, Vallejo AN. 2007. CD56-expressing T cells that have features of senescence are expanded in rheumatoid arthritis. </w:t>
      </w:r>
      <w:r>
        <w:rPr>
          <w:rFonts w:ascii="Calibri" w:hAnsi="Calibri" w:eastAsia="Calibri" w:cs="Calibri"/>
          <w:color w:val="660066"/>
          <w:sz w:val="20"/>
          <w:szCs w:val="20"/>
        </w:rPr>
        <w:t xml:space="preserve">Arthritis Rheum. </w:t>
      </w:r>
      <w:r>
        <w:rPr>
          <w:rFonts w:ascii="Calibri" w:hAnsi="Calibri" w:eastAsia="Calibri" w:cs="Calibri"/>
          <w:color w:val="000000"/>
          <w:sz w:val="20"/>
          <w:szCs w:val="20"/>
        </w:rPr>
        <w:t xml:space="preserve">2007 Jan;56(1):43-57. </w:t>
      </w:r>
      <w:r>
        <w:rPr>
          <w:rFonts w:ascii="Calibri" w:hAnsi="Calibri" w:eastAsia="Calibri" w:cs="Calibri"/>
          <w:sz w:val="20"/>
          <w:szCs w:val="20"/>
        </w:rPr>
        <w:t xml:space="preserve">                                                                                                                                                                                         </w:t>
      </w:r>
      <w:r>
        <w:rPr>
          <w:rFonts w:ascii="Calibri" w:hAnsi="Calibri" w:eastAsia="Calibri" w:cs="Calibri"/>
          <w:color w:val="000000"/>
          <w:sz w:val="20"/>
          <w:szCs w:val="20"/>
        </w:rPr>
        <w:t xml:space="preserve">Abedin S, Michel JJ, Lemster B, Vallejo AN. 2005. Diversity of NKR expression in aging T cells and in T cells of the aged: The new frontier into the exploration of protective immunity in the elderly. </w:t>
      </w:r>
      <w:r>
        <w:rPr>
          <w:rFonts w:ascii="Calibri" w:hAnsi="Calibri" w:eastAsia="Calibri" w:cs="Calibri"/>
          <w:color w:val="660066"/>
          <w:sz w:val="20"/>
          <w:szCs w:val="20"/>
        </w:rPr>
        <w:t xml:space="preserve">Exp Gerontol. </w:t>
      </w:r>
      <w:r>
        <w:rPr>
          <w:rFonts w:ascii="Calibri" w:hAnsi="Calibri" w:eastAsia="Calibri" w:cs="Calibri"/>
          <w:color w:val="000000"/>
          <w:sz w:val="20"/>
          <w:szCs w:val="20"/>
        </w:rPr>
        <w:t xml:space="preserve">2005 Jul;40(7):537- 48. </w:t>
      </w:r>
    </w:p>
    <w:sectPr w:rsidR="00B147CA">
      <w:pgSz w:w="12240" w:h="15840" w:orient="portrait"/>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DFB38263-EA62-4E25-9E9D-27C63D69B8B7}" r:id="rId1"/>
    <w:embedItalic w:fontKey="{C27A7508-3894-4BB9-ACC5-A2DEFF780CE3}" r:id="rId2"/>
  </w:font>
  <w:font w:name="Calibri">
    <w:panose1 w:val="020F0502020204030204"/>
    <w:charset w:val="00"/>
    <w:family w:val="swiss"/>
    <w:pitch w:val="variable"/>
    <w:sig w:usb0="E4002EFF" w:usb1="C000247B" w:usb2="00000009" w:usb3="00000000" w:csb0="000001FF" w:csb1="00000000"/>
    <w:embedRegular w:fontKey="{34C32FAE-98A8-42E8-8A69-E65CC063D657}" r:id="rId3"/>
    <w:embedBold w:fontKey="{6990E218-0CC7-4933-B55F-9A6E5C402316}" r:id="rId4"/>
    <w:embedItalic w:fontKey="{5238A657-D869-462F-96D0-D5ABC3EBD140}" r:id="rId5"/>
    <w:embedBoldItalic w:fontKey="{FADF074A-5AB9-4AA4-9085-301361110DFD}" r:id="rId6"/>
  </w:font>
  <w:font w:name="Roboto">
    <w:panose1 w:val="02000000000000000000"/>
    <w:charset w:val="00"/>
    <w:family w:val="auto"/>
    <w:pitch w:val="variable"/>
    <w:sig w:usb0="E0000AFF" w:usb1="5000217F" w:usb2="00000021" w:usb3="00000000" w:csb0="0000019F" w:csb1="00000000"/>
    <w:embedRegular w:fontKey="{7B7A16A4-7FC5-4F06-B81E-350EE8F3AFFB}" r:id="rId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53BF33F-AA92-432A-B787-7C70F7115AB4}" r:id="rI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7CA"/>
    <w:rsid w:val="00076FDC"/>
    <w:rsid w:val="006F0B68"/>
    <w:rsid w:val="00B147CA"/>
    <w:rsid w:val="7BD8C0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5B5E6DBF-72B9-42C2-A122-8F92520A2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frontiersin.org/articles/10.3389/fimmu.2016.00530/full" TargetMode="External" Id="rId6" /><Relationship Type="http://schemas.openxmlformats.org/officeDocument/2006/relationships/hyperlink" Target="https://doi.org/10.3389/fimmu.2018.01802" TargetMode="External" Id="rId5" /><Relationship Type="http://schemas.openxmlformats.org/officeDocument/2006/relationships/hyperlink" Target="https://www.researchgate.net/deref/http%3A%2F%2Fdx.doi.org%2F10.1007%2F978-3-319-64597-1_87-1?_sg%5B0%5D=lsIC6It-eZZ3aJNgd3_TQUzrF0-DHCYMt2y9IHPiabsrogiDN_97r7o5jBtumwQ_uW4fVARBJKY52NmYkQtVvjtMVg.09QKRH_-HR4pK209HOGfnHKqv5Ra5_xRH9O5dRiZtwFV4sm06hMO7jIDN-asLll6VzDo403PZJ_PPqZIFlepVQ" TargetMode="External" Id="rId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Michel, Joshua Jeremy</lastModifiedBy>
  <revision>2</revision>
  <dcterms:created xsi:type="dcterms:W3CDTF">2024-04-29T19:24:00.0000000Z</dcterms:created>
  <dcterms:modified xsi:type="dcterms:W3CDTF">2024-04-29T19:24:47.6805569Z</dcterms:modified>
</coreProperties>
</file>